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0BA7" w:rsidR="00770BA7" w:rsidP="00770BA7" w:rsidRDefault="00770BA7" w14:paraId="2F006C12" w14:textId="77777777">
      <w:pPr>
        <w:tabs>
          <w:tab w:val="left" w:pos="4962"/>
        </w:tabs>
        <w:jc w:val="left"/>
        <w:rPr>
          <w:rFonts w:ascii="Arial" w:hAnsi="Arial" w:cs="Arial"/>
          <w:smallCaps/>
          <w:lang w:val="fr-FR" w:eastAsia="en-US"/>
        </w:rPr>
      </w:pPr>
      <w:bookmarkStart w:name="_Toc221337940" w:id="0"/>
      <w:bookmarkStart w:name="_Hlk116651019" w:id="1"/>
      <w:r w:rsidRPr="00770BA7">
        <w:rPr>
          <w:rFonts w:ascii="Arial" w:hAnsi="Arial" w:cs="Arial"/>
          <w:noProof/>
          <w:lang w:val="fr-FR" w:eastAsia="en-GB"/>
        </w:rPr>
        <w:drawing>
          <wp:anchor distT="0" distB="0" distL="114300" distR="114300" simplePos="0" relativeHeight="251655168" behindDoc="0" locked="0" layoutInCell="1" allowOverlap="1" wp14:editId="67626787" wp14:anchorId="183293F2">
            <wp:simplePos x="0" y="0"/>
            <wp:positionH relativeFrom="margin">
              <wp:posOffset>3330575</wp:posOffset>
            </wp:positionH>
            <wp:positionV relativeFrom="margin">
              <wp:posOffset>-405130</wp:posOffset>
            </wp:positionV>
            <wp:extent cx="3448050" cy="1438275"/>
            <wp:effectExtent l="0" t="0" r="0" b="0"/>
            <wp:wrapSquare wrapText="bothSides"/>
            <wp:docPr id="8" name="Picture 2" descr="http://www.coe.int/documents/16695/995226/COE+logo+%26+European+Social+Charter.png/54ae4f21-1e99-4d4d-97a2-510859117300?t=1372413284000?t=137241328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int/documents/16695/995226/COE+logo+%26+European+Social+Charter.png/54ae4f21-1e99-4d4d-97a2-510859117300?t=1372413284000?t=1372413284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0" cy="1438275"/>
                    </a:xfrm>
                    <a:prstGeom prst="rect">
                      <a:avLst/>
                    </a:prstGeom>
                    <a:noFill/>
                    <a:ln>
                      <a:noFill/>
                    </a:ln>
                  </pic:spPr>
                </pic:pic>
              </a:graphicData>
            </a:graphic>
          </wp:anchor>
        </w:drawing>
      </w:r>
      <w:bookmarkEnd w:id="0"/>
    </w:p>
    <w:p w:rsidRPr="00770BA7" w:rsidR="00770BA7" w:rsidP="00770BA7" w:rsidRDefault="00770BA7" w14:paraId="3E3EA83C" w14:textId="77777777">
      <w:pPr>
        <w:jc w:val="left"/>
        <w:rPr>
          <w:rFonts w:ascii="Arial" w:hAnsi="Arial" w:cs="Arial"/>
          <w:smallCaps/>
          <w:lang w:val="fr-FR" w:eastAsia="en-US"/>
        </w:rPr>
      </w:pPr>
    </w:p>
    <w:p w:rsidRPr="00770BA7" w:rsidR="00770BA7" w:rsidP="00770BA7" w:rsidRDefault="00770BA7" w14:paraId="04C8DA65" w14:textId="77777777">
      <w:pPr>
        <w:jc w:val="left"/>
        <w:rPr>
          <w:rFonts w:ascii="Arial" w:hAnsi="Arial"/>
          <w:lang w:val="fr-FR" w:eastAsia="en-US"/>
        </w:rPr>
      </w:pPr>
    </w:p>
    <w:p w:rsidRPr="00770BA7" w:rsidR="00770BA7" w:rsidP="00770BA7" w:rsidRDefault="00770BA7" w14:paraId="286F0AF1" w14:textId="77777777">
      <w:pPr>
        <w:jc w:val="left"/>
        <w:rPr>
          <w:rFonts w:ascii="Helvetica" w:hAnsi="Helvetica" w:cs="Helvetica"/>
          <w:b/>
          <w:smallCaps/>
          <w:sz w:val="26"/>
          <w:lang w:val="fr-FR" w:eastAsia="en-US"/>
        </w:rPr>
      </w:pPr>
      <w:r w:rsidRPr="00770BA7">
        <w:rPr>
          <w:rFonts w:ascii="Helvetica" w:hAnsi="Helvetica" w:cs="Helvetica"/>
          <w:b/>
          <w:smallCaps/>
          <w:sz w:val="26"/>
          <w:lang w:val="fr-FR" w:eastAsia="en-US"/>
        </w:rPr>
        <w:t>European Committee of Social Rights</w:t>
      </w:r>
    </w:p>
    <w:p w:rsidRPr="00770BA7" w:rsidR="00770BA7" w:rsidP="00770BA7" w:rsidRDefault="00770BA7" w14:paraId="47038682" w14:textId="77777777">
      <w:pPr>
        <w:jc w:val="left"/>
        <w:rPr>
          <w:rFonts w:ascii="Helvetica" w:hAnsi="Helvetica" w:cs="Helvetica"/>
          <w:b/>
          <w:smallCaps/>
          <w:sz w:val="26"/>
          <w:lang w:val="fr-FR" w:eastAsia="en-US"/>
        </w:rPr>
      </w:pPr>
      <w:r w:rsidRPr="00770BA7">
        <w:rPr>
          <w:rFonts w:ascii="Helvetica" w:hAnsi="Helvetica" w:cs="Helvetica"/>
          <w:b/>
          <w:smallCaps/>
          <w:sz w:val="26"/>
          <w:lang w:val="fr-FR" w:eastAsia="en-US"/>
        </w:rPr>
        <w:t>Comité européen des Droits sociaux</w:t>
      </w:r>
    </w:p>
    <w:p w:rsidRPr="00770BA7" w:rsidR="00770BA7" w:rsidP="00770BA7" w:rsidRDefault="00770BA7" w14:paraId="6D4C0396" w14:textId="77777777">
      <w:pPr>
        <w:widowControl w:val="0"/>
        <w:tabs>
          <w:tab w:val="right" w:pos="9072"/>
        </w:tabs>
        <w:snapToGrid w:val="0"/>
        <w:rPr>
          <w:rFonts w:ascii="Arial" w:hAnsi="Arial" w:cs="Arial"/>
          <w:lang w:val="fr-FR" w:eastAsia="en-US"/>
        </w:rPr>
      </w:pPr>
    </w:p>
    <w:p w:rsidRPr="004341BD" w:rsidR="004341BD" w:rsidP="004341BD" w:rsidRDefault="004341BD" w14:paraId="2A5DAE9D" w14:textId="77777777">
      <w:pPr>
        <w:autoSpaceDE w:val="0"/>
        <w:autoSpaceDN w:val="0"/>
        <w:adjustRightInd w:val="0"/>
        <w:jc w:val="left"/>
        <w:rPr>
          <w:rFonts w:ascii="Arial" w:hAnsi="Arial" w:cs="Arial" w:eastAsiaTheme="minorHAnsi"/>
          <w:color w:val="000000"/>
          <w:lang w:val="fr-FR" w:eastAsia="en-US"/>
        </w:rPr>
      </w:pPr>
    </w:p>
    <w:p w:rsidRPr="004341BD" w:rsidR="00D97A01" w:rsidP="004341BD" w:rsidRDefault="00D97A01" w14:paraId="5AA6C14F" w14:textId="65F6794A">
      <w:pPr>
        <w:suppressAutoHyphens/>
        <w:spacing w:line="100" w:lineRule="atLeast"/>
        <w:rPr>
          <w:rFonts w:ascii="Arial" w:hAnsi="Arial" w:cs="Arial"/>
          <w:b/>
          <w:bCs/>
          <w:kern w:val="2"/>
          <w:u w:val="single"/>
          <w:lang w:val="fr-FR" w:eastAsia="ar-SA"/>
        </w:rPr>
      </w:pPr>
    </w:p>
    <w:p w:rsidRPr="00A86354" w:rsidR="00D97A01" w:rsidP="004341BD" w:rsidRDefault="00D97A01" w14:paraId="4A52E0A5" w14:textId="77777777">
      <w:pPr>
        <w:suppressAutoHyphens/>
        <w:spacing w:line="100" w:lineRule="atLeast"/>
        <w:ind w:left="720" w:hanging="720"/>
        <w:rPr>
          <w:rFonts w:ascii="Arial" w:hAnsi="Arial" w:cs="Arial"/>
          <w:b/>
          <w:kern w:val="2"/>
          <w:lang w:val="fr-FR" w:eastAsia="ar-SA"/>
        </w:rPr>
      </w:pPr>
    </w:p>
    <w:p w:rsidRPr="00A86354" w:rsidR="00D97A01" w:rsidP="00D97A01" w:rsidRDefault="00D97A01" w14:paraId="6880F7D3" w14:textId="77777777">
      <w:pPr>
        <w:pBdr>
          <w:top w:val="double" w:color="000000" w:sz="2" w:space="0"/>
          <w:left w:val="double" w:color="000000" w:sz="2" w:space="2"/>
          <w:bottom w:val="double" w:color="000000" w:sz="2" w:space="11"/>
          <w:right w:val="double" w:color="000000" w:sz="2" w:space="9"/>
        </w:pBdr>
        <w:suppressAutoHyphens/>
        <w:spacing w:line="100" w:lineRule="atLeast"/>
        <w:ind w:left="2410" w:right="2409"/>
        <w:jc w:val="center"/>
        <w:rPr>
          <w:rFonts w:ascii="Arial" w:hAnsi="Arial" w:cs="Arial"/>
          <w:b/>
          <w:iCs/>
          <w:kern w:val="2"/>
          <w:lang w:val="fr-FR" w:eastAsia="ar-SA"/>
        </w:rPr>
      </w:pPr>
    </w:p>
    <w:p w:rsidRPr="00A86354" w:rsidR="00D97A01" w:rsidP="00D97A01" w:rsidRDefault="00D97A01" w14:paraId="36B04A58" w14:textId="4829006E">
      <w:pPr>
        <w:pBdr>
          <w:top w:val="double" w:color="000000" w:sz="2" w:space="0"/>
          <w:left w:val="double" w:color="000000" w:sz="2" w:space="2"/>
          <w:bottom w:val="double" w:color="000000" w:sz="2" w:space="11"/>
          <w:right w:val="double" w:color="000000" w:sz="2" w:space="9"/>
        </w:pBdr>
        <w:suppressAutoHyphens/>
        <w:spacing w:line="100" w:lineRule="atLeast"/>
        <w:ind w:left="2410" w:right="2409"/>
        <w:jc w:val="center"/>
        <w:rPr>
          <w:rFonts w:ascii="Arial" w:hAnsi="Arial" w:cs="Arial"/>
          <w:b/>
          <w:iCs/>
          <w:kern w:val="2"/>
          <w:lang w:val="fr-FR" w:eastAsia="ar-SA"/>
        </w:rPr>
      </w:pPr>
      <w:r w:rsidRPr="00A86354">
        <w:rPr>
          <w:rFonts w:ascii="Arial" w:hAnsi="Arial" w:cs="Arial"/>
          <w:b/>
          <w:iCs/>
          <w:kern w:val="2"/>
          <w:lang w:val="fr-FR" w:eastAsia="ar-SA"/>
        </w:rPr>
        <w:t>D</w:t>
      </w:r>
      <w:r w:rsidRPr="00A86354" w:rsidR="00CE3852">
        <w:rPr>
          <w:rFonts w:ascii="Arial" w:hAnsi="Arial" w:cs="Arial"/>
          <w:b/>
          <w:iCs/>
          <w:kern w:val="2"/>
          <w:lang w:val="fr-FR" w:eastAsia="ar-SA"/>
        </w:rPr>
        <w:t>É</w:t>
      </w:r>
      <w:r w:rsidRPr="00A86354">
        <w:rPr>
          <w:rFonts w:ascii="Arial" w:hAnsi="Arial" w:cs="Arial"/>
          <w:b/>
          <w:iCs/>
          <w:kern w:val="2"/>
          <w:lang w:val="fr-FR" w:eastAsia="ar-SA"/>
        </w:rPr>
        <w:t xml:space="preserve">CISION </w:t>
      </w:r>
      <w:r w:rsidRPr="00A86354" w:rsidR="00CE3852">
        <w:rPr>
          <w:rFonts w:ascii="Arial" w:hAnsi="Arial" w:cs="Arial"/>
          <w:b/>
          <w:iCs/>
          <w:kern w:val="2"/>
          <w:lang w:val="fr-FR" w:eastAsia="ar-SA"/>
        </w:rPr>
        <w:t>SUR LE BIEN-FONDÉ</w:t>
      </w:r>
    </w:p>
    <w:p w:rsidRPr="00A86354" w:rsidR="00D97A01" w:rsidP="00D97A01" w:rsidRDefault="00D97A01" w14:paraId="2420F301" w14:textId="77777777">
      <w:pPr>
        <w:pBdr>
          <w:top w:val="double" w:color="000000" w:sz="2" w:space="0"/>
          <w:left w:val="double" w:color="000000" w:sz="2" w:space="2"/>
          <w:bottom w:val="double" w:color="000000" w:sz="2" w:space="11"/>
          <w:right w:val="double" w:color="000000" w:sz="2" w:space="9"/>
        </w:pBdr>
        <w:tabs>
          <w:tab w:val="left" w:pos="5210"/>
        </w:tabs>
        <w:suppressAutoHyphens/>
        <w:spacing w:line="100" w:lineRule="atLeast"/>
        <w:ind w:left="2410" w:right="2409"/>
        <w:rPr>
          <w:rFonts w:ascii="Arial" w:hAnsi="Arial" w:cs="Arial"/>
          <w:b/>
          <w:iCs/>
          <w:kern w:val="2"/>
          <w:lang w:val="fr-FR" w:eastAsia="ar-SA"/>
        </w:rPr>
      </w:pPr>
    </w:p>
    <w:p w:rsidRPr="00A86354" w:rsidR="00D97A01" w:rsidP="00D97A01" w:rsidRDefault="00D97A01" w14:paraId="1F172975" w14:textId="5E3A5C0F">
      <w:pPr>
        <w:pBdr>
          <w:top w:val="double" w:color="000000" w:sz="2" w:space="0"/>
          <w:left w:val="double" w:color="000000" w:sz="2" w:space="2"/>
          <w:bottom w:val="double" w:color="000000" w:sz="2" w:space="11"/>
          <w:right w:val="double" w:color="000000" w:sz="2" w:space="9"/>
        </w:pBdr>
        <w:tabs>
          <w:tab w:val="left" w:pos="2977"/>
        </w:tabs>
        <w:suppressAutoHyphens/>
        <w:spacing w:line="100" w:lineRule="atLeast"/>
        <w:ind w:left="2410" w:right="2409" w:firstLine="425"/>
        <w:rPr>
          <w:rFonts w:ascii="Arial" w:hAnsi="Arial" w:cs="Arial"/>
          <w:b/>
          <w:color w:val="000000"/>
          <w:kern w:val="2"/>
          <w:lang w:val="fr-FR" w:eastAsia="ar-SA"/>
        </w:rPr>
      </w:pPr>
      <w:r w:rsidRPr="00A86354">
        <w:rPr>
          <w:rFonts w:ascii="Arial" w:hAnsi="Arial" w:cs="Arial"/>
          <w:b/>
          <w:color w:val="000000"/>
          <w:kern w:val="2"/>
          <w:lang w:val="fr-FR" w:eastAsia="ar-SA"/>
        </w:rPr>
        <w:t>Adoption</w:t>
      </w:r>
      <w:r w:rsidRPr="00A86354" w:rsidR="000807D5">
        <w:rPr>
          <w:rFonts w:ascii="Arial" w:hAnsi="Arial" w:cs="Arial"/>
          <w:b/>
          <w:color w:val="000000"/>
          <w:kern w:val="2"/>
          <w:lang w:val="fr-FR" w:eastAsia="ar-SA"/>
        </w:rPr>
        <w:t> :</w:t>
      </w:r>
      <w:r w:rsidRPr="00A86354">
        <w:rPr>
          <w:rFonts w:ascii="Arial" w:hAnsi="Arial" w:cs="Arial"/>
          <w:b/>
          <w:color w:val="000000"/>
          <w:kern w:val="2"/>
          <w:lang w:val="fr-FR" w:eastAsia="ar-SA"/>
        </w:rPr>
        <w:t xml:space="preserve"> </w:t>
      </w:r>
      <w:r w:rsidRPr="00A86354" w:rsidR="00F46455">
        <w:rPr>
          <w:rFonts w:ascii="Arial" w:hAnsi="Arial" w:cs="Arial"/>
          <w:b/>
          <w:color w:val="000000"/>
          <w:kern w:val="2"/>
          <w:lang w:val="fr-FR" w:eastAsia="ar-SA"/>
        </w:rPr>
        <w:t xml:space="preserve">19 </w:t>
      </w:r>
      <w:r w:rsidRPr="00A86354" w:rsidR="00DD6AF6">
        <w:rPr>
          <w:rFonts w:ascii="Arial" w:hAnsi="Arial" w:cs="Arial"/>
          <w:b/>
          <w:color w:val="000000"/>
          <w:kern w:val="2"/>
          <w:lang w:val="fr-FR" w:eastAsia="ar-SA"/>
        </w:rPr>
        <w:t>octobre</w:t>
      </w:r>
      <w:r w:rsidRPr="00A86354" w:rsidR="00F46455">
        <w:rPr>
          <w:rFonts w:ascii="Arial" w:hAnsi="Arial" w:cs="Arial"/>
          <w:b/>
          <w:color w:val="000000"/>
          <w:kern w:val="2"/>
          <w:lang w:val="fr-FR" w:eastAsia="ar-SA"/>
        </w:rPr>
        <w:t xml:space="preserve"> 2022</w:t>
      </w:r>
    </w:p>
    <w:p w:rsidRPr="00A86354" w:rsidR="00D97A01" w:rsidP="00D97A01" w:rsidRDefault="00D97A01" w14:paraId="569E3AE7" w14:textId="77777777">
      <w:pPr>
        <w:pBdr>
          <w:top w:val="double" w:color="000000" w:sz="2" w:space="0"/>
          <w:left w:val="double" w:color="000000" w:sz="2" w:space="2"/>
          <w:bottom w:val="double" w:color="000000" w:sz="2" w:space="11"/>
          <w:right w:val="double" w:color="000000" w:sz="2" w:space="9"/>
        </w:pBdr>
        <w:tabs>
          <w:tab w:val="left" w:pos="2977"/>
        </w:tabs>
        <w:suppressAutoHyphens/>
        <w:spacing w:line="100" w:lineRule="atLeast"/>
        <w:ind w:left="2410" w:right="2409"/>
        <w:rPr>
          <w:rFonts w:ascii="Arial" w:hAnsi="Arial" w:cs="Arial"/>
          <w:b/>
          <w:color w:val="000000"/>
          <w:kern w:val="2"/>
          <w:lang w:val="fr-FR" w:eastAsia="ar-SA"/>
        </w:rPr>
      </w:pPr>
    </w:p>
    <w:p w:rsidRPr="00A86354" w:rsidR="00D97A01" w:rsidP="00D97A01" w:rsidRDefault="00D97A01" w14:paraId="0F46A21D" w14:textId="42FD9226">
      <w:pPr>
        <w:pBdr>
          <w:top w:val="double" w:color="000000" w:sz="2" w:space="0"/>
          <w:left w:val="double" w:color="000000" w:sz="2" w:space="2"/>
          <w:bottom w:val="double" w:color="000000" w:sz="2" w:space="11"/>
          <w:right w:val="double" w:color="000000" w:sz="2" w:space="9"/>
        </w:pBdr>
        <w:tabs>
          <w:tab w:val="left" w:pos="2977"/>
        </w:tabs>
        <w:suppressAutoHyphens/>
        <w:spacing w:line="100" w:lineRule="atLeast"/>
        <w:ind w:left="2410" w:right="2409" w:firstLine="425"/>
        <w:rPr>
          <w:rFonts w:ascii="Arial" w:hAnsi="Arial" w:cs="Arial"/>
          <w:b/>
          <w:color w:val="000000"/>
          <w:kern w:val="2"/>
          <w:lang w:val="fr-FR" w:eastAsia="ar-SA"/>
        </w:rPr>
      </w:pPr>
      <w:r w:rsidRPr="00A86354">
        <w:rPr>
          <w:rFonts w:ascii="Arial" w:hAnsi="Arial" w:cs="Arial"/>
          <w:b/>
          <w:color w:val="000000"/>
          <w:kern w:val="2"/>
          <w:lang w:val="fr-FR" w:eastAsia="ar-SA"/>
        </w:rPr>
        <w:t>Notification</w:t>
      </w:r>
      <w:r w:rsidRPr="00A86354" w:rsidR="000807D5">
        <w:rPr>
          <w:rFonts w:ascii="Arial" w:hAnsi="Arial" w:cs="Arial"/>
          <w:b/>
          <w:color w:val="000000"/>
          <w:kern w:val="2"/>
          <w:lang w:val="fr-FR" w:eastAsia="ar-SA"/>
        </w:rPr>
        <w:t> :</w:t>
      </w:r>
      <w:r w:rsidRPr="00A86354">
        <w:rPr>
          <w:rFonts w:ascii="Arial" w:hAnsi="Arial" w:cs="Arial"/>
          <w:b/>
          <w:color w:val="000000"/>
          <w:kern w:val="2"/>
          <w:lang w:val="fr-FR" w:eastAsia="ar-SA"/>
        </w:rPr>
        <w:t xml:space="preserve"> </w:t>
      </w:r>
      <w:r w:rsidRPr="00A86354" w:rsidR="00770BA7">
        <w:rPr>
          <w:rFonts w:ascii="Arial" w:hAnsi="Arial" w:cs="Arial"/>
          <w:b/>
          <w:color w:val="000000"/>
          <w:kern w:val="2"/>
          <w:lang w:val="fr-FR" w:eastAsia="ar-SA"/>
        </w:rPr>
        <w:t>1</w:t>
      </w:r>
      <w:r w:rsidR="007600FF">
        <w:rPr>
          <w:rFonts w:ascii="Arial" w:hAnsi="Arial" w:cs="Arial"/>
          <w:b/>
          <w:color w:val="000000"/>
          <w:kern w:val="2"/>
          <w:lang w:val="fr-FR" w:eastAsia="ar-SA"/>
        </w:rPr>
        <w:t>6</w:t>
      </w:r>
      <w:r w:rsidRPr="00A86354" w:rsidR="00770BA7">
        <w:rPr>
          <w:rFonts w:ascii="Arial" w:hAnsi="Arial" w:cs="Arial"/>
          <w:b/>
          <w:color w:val="000000"/>
          <w:kern w:val="2"/>
          <w:lang w:val="fr-FR" w:eastAsia="ar-SA"/>
        </w:rPr>
        <w:t xml:space="preserve"> décembre 2022</w:t>
      </w:r>
    </w:p>
    <w:p w:rsidRPr="00A86354" w:rsidR="00D97A01" w:rsidP="00D97A01" w:rsidRDefault="00D97A01" w14:paraId="23C5DF1F" w14:textId="77777777">
      <w:pPr>
        <w:pBdr>
          <w:top w:val="double" w:color="000000" w:sz="2" w:space="0"/>
          <w:left w:val="double" w:color="000000" w:sz="2" w:space="2"/>
          <w:bottom w:val="double" w:color="000000" w:sz="2" w:space="11"/>
          <w:right w:val="double" w:color="000000" w:sz="2" w:space="9"/>
        </w:pBdr>
        <w:tabs>
          <w:tab w:val="left" w:pos="2977"/>
        </w:tabs>
        <w:suppressAutoHyphens/>
        <w:spacing w:line="100" w:lineRule="atLeast"/>
        <w:ind w:left="2410" w:right="2409"/>
        <w:rPr>
          <w:rFonts w:ascii="Arial" w:hAnsi="Arial" w:cs="Arial"/>
          <w:b/>
          <w:color w:val="000000"/>
          <w:kern w:val="2"/>
          <w:lang w:val="fr-FR" w:eastAsia="ar-SA"/>
        </w:rPr>
      </w:pPr>
    </w:p>
    <w:p w:rsidRPr="00A86354" w:rsidR="00D97A01" w:rsidP="00D97A01" w:rsidRDefault="00D97A01" w14:paraId="790D5EA8" w14:textId="6E3A630A">
      <w:pPr>
        <w:pBdr>
          <w:top w:val="double" w:color="000000" w:sz="2" w:space="0"/>
          <w:left w:val="double" w:color="000000" w:sz="2" w:space="2"/>
          <w:bottom w:val="double" w:color="000000" w:sz="2" w:space="11"/>
          <w:right w:val="double" w:color="000000" w:sz="2" w:space="9"/>
        </w:pBdr>
        <w:tabs>
          <w:tab w:val="left" w:pos="2977"/>
        </w:tabs>
        <w:suppressAutoHyphens/>
        <w:spacing w:line="100" w:lineRule="atLeast"/>
        <w:ind w:left="2410" w:right="2409" w:firstLine="425"/>
        <w:rPr>
          <w:rFonts w:ascii="Arial" w:hAnsi="Arial" w:cs="Arial"/>
          <w:b/>
          <w:color w:val="000000"/>
          <w:kern w:val="2"/>
          <w:lang w:val="fr-FR" w:eastAsia="ar-SA"/>
        </w:rPr>
      </w:pPr>
      <w:r w:rsidRPr="00A86354">
        <w:rPr>
          <w:rFonts w:ascii="Arial" w:hAnsi="Arial" w:cs="Arial"/>
          <w:b/>
          <w:color w:val="000000"/>
          <w:kern w:val="2"/>
          <w:lang w:val="fr-FR" w:eastAsia="ar-SA"/>
        </w:rPr>
        <w:t>Publicit</w:t>
      </w:r>
      <w:r w:rsidRPr="00A86354" w:rsidR="00921501">
        <w:rPr>
          <w:rFonts w:ascii="Arial" w:hAnsi="Arial" w:cs="Arial"/>
          <w:b/>
          <w:color w:val="000000"/>
          <w:kern w:val="2"/>
          <w:lang w:val="fr-FR" w:eastAsia="ar-SA"/>
        </w:rPr>
        <w:t>é</w:t>
      </w:r>
      <w:r w:rsidRPr="00A86354" w:rsidR="000807D5">
        <w:rPr>
          <w:rFonts w:ascii="Arial" w:hAnsi="Arial" w:cs="Arial"/>
          <w:b/>
          <w:color w:val="000000"/>
          <w:kern w:val="2"/>
          <w:lang w:val="fr-FR" w:eastAsia="ar-SA"/>
        </w:rPr>
        <w:t> :</w:t>
      </w:r>
      <w:r w:rsidRPr="00A86354" w:rsidR="00770BA7">
        <w:rPr>
          <w:rFonts w:ascii="Arial" w:hAnsi="Arial" w:cs="Arial"/>
          <w:b/>
          <w:color w:val="000000"/>
          <w:kern w:val="2"/>
          <w:lang w:val="fr-FR" w:eastAsia="ar-SA"/>
        </w:rPr>
        <w:t xml:space="preserve"> 1</w:t>
      </w:r>
      <w:r w:rsidR="007600FF">
        <w:rPr>
          <w:rFonts w:ascii="Arial" w:hAnsi="Arial" w:cs="Arial"/>
          <w:b/>
          <w:color w:val="000000"/>
          <w:kern w:val="2"/>
          <w:lang w:val="fr-FR" w:eastAsia="ar-SA"/>
        </w:rPr>
        <w:t>7</w:t>
      </w:r>
      <w:r w:rsidRPr="00A86354" w:rsidR="00770BA7">
        <w:rPr>
          <w:rFonts w:ascii="Arial" w:hAnsi="Arial" w:cs="Arial"/>
          <w:b/>
          <w:color w:val="000000"/>
          <w:kern w:val="2"/>
          <w:lang w:val="fr-FR" w:eastAsia="ar-SA"/>
        </w:rPr>
        <w:t xml:space="preserve"> avril 2023</w:t>
      </w:r>
    </w:p>
    <w:p w:rsidRPr="00A86354" w:rsidR="00D97A01" w:rsidP="00D97A01" w:rsidRDefault="00D97A01" w14:paraId="10F54E4B" w14:textId="77777777">
      <w:pPr>
        <w:rPr>
          <w:rFonts w:ascii="Arial" w:hAnsi="Arial" w:cs="Arial"/>
          <w:color w:val="000000"/>
          <w:lang w:val="fr-FR" w:eastAsia="fr-FR"/>
        </w:rPr>
      </w:pPr>
    </w:p>
    <w:p w:rsidRPr="00A86354" w:rsidR="00D97A01" w:rsidP="00D97A01" w:rsidRDefault="00D97A01" w14:paraId="2DC93F15" w14:textId="77777777">
      <w:pPr>
        <w:rPr>
          <w:rFonts w:ascii="Arial" w:hAnsi="Arial" w:cs="Arial"/>
          <w:color w:val="000000"/>
          <w:lang w:val="fr-FR" w:eastAsia="fr-FR"/>
        </w:rPr>
      </w:pPr>
    </w:p>
    <w:p w:rsidRPr="00A86354" w:rsidR="00D97A01" w:rsidP="00D97A01" w:rsidRDefault="003226E7" w14:paraId="1C85C613" w14:textId="1BC14E1C">
      <w:pPr>
        <w:jc w:val="center"/>
        <w:rPr>
          <w:rFonts w:ascii="Arial" w:hAnsi="Arial" w:cs="Arial"/>
          <w:b/>
          <w:bCs/>
          <w:color w:val="000000"/>
          <w:lang w:val="fr-FR" w:eastAsia="fr-FR"/>
        </w:rPr>
      </w:pPr>
      <w:bookmarkStart w:name="_Hlk121131836" w:id="2"/>
      <w:r w:rsidRPr="00A86354">
        <w:rPr>
          <w:rFonts w:ascii="Arial" w:hAnsi="Arial" w:cs="Arial"/>
          <w:b/>
          <w:bCs/>
          <w:color w:val="000000"/>
          <w:lang w:val="fr-FR" w:eastAsia="fr-FR"/>
        </w:rPr>
        <w:t>Forum européen des personnes handicapées (EDF) et Inclusion Europe c.</w:t>
      </w:r>
      <w:r w:rsidRPr="00A86354" w:rsidR="00DB04D6">
        <w:rPr>
          <w:rFonts w:ascii="Arial" w:hAnsi="Arial" w:cs="Arial"/>
          <w:b/>
          <w:bCs/>
          <w:color w:val="000000"/>
          <w:lang w:val="fr-FR" w:eastAsia="fr-FR"/>
        </w:rPr>
        <w:t> </w:t>
      </w:r>
      <w:r w:rsidRPr="00A86354">
        <w:rPr>
          <w:rFonts w:ascii="Arial" w:hAnsi="Arial" w:cs="Arial"/>
          <w:b/>
          <w:bCs/>
          <w:color w:val="000000"/>
          <w:lang w:val="fr-FR" w:eastAsia="fr-FR"/>
        </w:rPr>
        <w:t>France</w:t>
      </w:r>
      <w:r w:rsidRPr="00A86354" w:rsidR="00094321">
        <w:rPr>
          <w:rFonts w:ascii="Arial" w:hAnsi="Arial" w:cs="Arial"/>
          <w:b/>
          <w:bCs/>
          <w:color w:val="000000"/>
          <w:lang w:val="fr-FR" w:eastAsia="fr-FR"/>
        </w:rPr>
        <w:t xml:space="preserve"> </w:t>
      </w:r>
    </w:p>
    <w:p w:rsidRPr="00A86354" w:rsidR="00D97A01" w:rsidP="00D97A01" w:rsidRDefault="00D97A01" w14:paraId="530C7847" w14:textId="77777777">
      <w:pPr>
        <w:jc w:val="center"/>
        <w:rPr>
          <w:rFonts w:ascii="Arial" w:hAnsi="Arial" w:cs="Arial"/>
          <w:b/>
          <w:bCs/>
          <w:color w:val="000000"/>
          <w:lang w:val="fr-FR" w:eastAsia="fr-FR"/>
        </w:rPr>
      </w:pPr>
    </w:p>
    <w:p w:rsidRPr="00A86354" w:rsidR="00D97A01" w:rsidP="00D97A01" w:rsidRDefault="003226E7" w14:paraId="206F3089" w14:textId="6EE19BAD">
      <w:pPr>
        <w:jc w:val="center"/>
        <w:rPr>
          <w:rFonts w:ascii="Arial" w:hAnsi="Arial" w:cs="Arial"/>
          <w:color w:val="000000"/>
          <w:lang w:val="fr-FR" w:eastAsia="fr-FR"/>
        </w:rPr>
      </w:pPr>
      <w:r w:rsidRPr="00A86354">
        <w:rPr>
          <w:rFonts w:ascii="Arial" w:hAnsi="Arial" w:cs="Arial"/>
          <w:color w:val="000000"/>
          <w:lang w:val="fr-FR" w:eastAsia="fr-FR"/>
        </w:rPr>
        <w:t>Réclamation n°</w:t>
      </w:r>
      <w:r w:rsidRPr="00A86354" w:rsidR="00A163C3">
        <w:rPr>
          <w:rFonts w:ascii="Arial" w:hAnsi="Arial" w:cs="Arial"/>
          <w:color w:val="000000"/>
          <w:lang w:val="fr-FR" w:eastAsia="fr-FR"/>
        </w:rPr>
        <w:t> </w:t>
      </w:r>
      <w:r w:rsidRPr="00A86354">
        <w:rPr>
          <w:rFonts w:ascii="Arial" w:hAnsi="Arial" w:cs="Arial"/>
          <w:color w:val="000000"/>
          <w:lang w:val="fr-FR" w:eastAsia="fr-FR"/>
        </w:rPr>
        <w:t>168/2018</w:t>
      </w:r>
    </w:p>
    <w:bookmarkEnd w:id="2"/>
    <w:p w:rsidRPr="00A86354" w:rsidR="00D97A01" w:rsidP="00D97A01" w:rsidRDefault="00D97A01" w14:paraId="64A5AB18" w14:textId="77777777">
      <w:pPr>
        <w:jc w:val="center"/>
        <w:rPr>
          <w:rFonts w:ascii="Arial" w:hAnsi="Arial" w:cs="Arial"/>
          <w:color w:val="000000"/>
          <w:lang w:val="fr-FR" w:eastAsia="fr-FR"/>
        </w:rPr>
      </w:pPr>
    </w:p>
    <w:p w:rsidRPr="00A86354" w:rsidR="00D97A01" w:rsidP="00D97A01" w:rsidRDefault="00DB04D6" w14:paraId="42A1A1D1" w14:textId="17FA4763">
      <w:pPr>
        <w:rPr>
          <w:rFonts w:ascii="Arial" w:hAnsi="Arial" w:cs="Arial"/>
          <w:color w:val="000000"/>
          <w:lang w:val="fr-FR" w:eastAsia="fr-FR"/>
        </w:rPr>
      </w:pPr>
      <w:r w:rsidRPr="00A86354">
        <w:rPr>
          <w:rFonts w:ascii="Arial" w:hAnsi="Arial" w:cs="Arial"/>
          <w:color w:val="000000"/>
          <w:lang w:val="fr-FR" w:eastAsia="fr-FR"/>
        </w:rPr>
        <w:t>Le Comité européen des droits sociaux, comité d</w:t>
      </w:r>
      <w:r w:rsidRPr="00A86354" w:rsidR="0006032C">
        <w:rPr>
          <w:rFonts w:ascii="Arial" w:hAnsi="Arial" w:cs="Arial"/>
          <w:color w:val="000000"/>
          <w:lang w:val="fr-FR" w:eastAsia="fr-FR"/>
        </w:rPr>
        <w:t>’</w:t>
      </w:r>
      <w:r w:rsidRPr="00A86354">
        <w:rPr>
          <w:rFonts w:ascii="Arial" w:hAnsi="Arial" w:cs="Arial"/>
          <w:color w:val="000000"/>
          <w:lang w:val="fr-FR" w:eastAsia="fr-FR"/>
        </w:rPr>
        <w:t>experts indépendants institué en vertu de l</w:t>
      </w:r>
      <w:r w:rsidRPr="00A86354" w:rsidR="0006032C">
        <w:rPr>
          <w:rFonts w:ascii="Arial" w:hAnsi="Arial" w:cs="Arial"/>
          <w:color w:val="000000"/>
          <w:lang w:val="fr-FR" w:eastAsia="fr-FR"/>
        </w:rPr>
        <w:t>’</w:t>
      </w:r>
      <w:r w:rsidRPr="00A86354">
        <w:rPr>
          <w:rFonts w:ascii="Arial" w:hAnsi="Arial" w:cs="Arial"/>
          <w:color w:val="000000"/>
          <w:lang w:val="fr-FR" w:eastAsia="fr-FR"/>
        </w:rPr>
        <w:t>article 25 de la Charte sociale européenne (</w:t>
      </w:r>
      <w:r w:rsidRPr="00A86354" w:rsidR="000807D5">
        <w:rPr>
          <w:rFonts w:ascii="Arial" w:hAnsi="Arial" w:cs="Arial"/>
          <w:color w:val="000000"/>
          <w:lang w:val="fr-FR" w:eastAsia="fr-FR"/>
        </w:rPr>
        <w:t>« </w:t>
      </w:r>
      <w:r w:rsidRPr="00A86354">
        <w:rPr>
          <w:rFonts w:ascii="Arial" w:hAnsi="Arial" w:cs="Arial"/>
          <w:color w:val="000000"/>
          <w:lang w:val="fr-FR" w:eastAsia="fr-FR"/>
        </w:rPr>
        <w:t>le Comité</w:t>
      </w:r>
      <w:r w:rsidRPr="00A86354" w:rsidR="000807D5">
        <w:rPr>
          <w:rFonts w:ascii="Arial" w:hAnsi="Arial" w:cs="Arial"/>
          <w:color w:val="000000"/>
          <w:lang w:val="fr-FR" w:eastAsia="fr-FR"/>
        </w:rPr>
        <w:t> »</w:t>
      </w:r>
      <w:r w:rsidRPr="00A86354">
        <w:rPr>
          <w:rFonts w:ascii="Arial" w:hAnsi="Arial" w:cs="Arial"/>
          <w:color w:val="000000"/>
          <w:lang w:val="fr-FR" w:eastAsia="fr-FR"/>
        </w:rPr>
        <w:t>), au cours de sa</w:t>
      </w:r>
      <w:r w:rsidRPr="00A86354" w:rsidR="00D97A01">
        <w:rPr>
          <w:rFonts w:ascii="Arial" w:hAnsi="Arial" w:cs="Arial"/>
          <w:color w:val="000000"/>
          <w:lang w:val="fr-FR" w:eastAsia="fr-FR"/>
        </w:rPr>
        <w:t xml:space="preserve"> </w:t>
      </w:r>
      <w:r w:rsidRPr="00A86354" w:rsidR="00A64919">
        <w:rPr>
          <w:rFonts w:ascii="Arial" w:hAnsi="Arial" w:cs="Arial"/>
          <w:color w:val="000000"/>
          <w:lang w:val="fr-FR" w:eastAsia="fr-FR"/>
        </w:rPr>
        <w:t>330</w:t>
      </w:r>
      <w:r w:rsidRPr="00A86354" w:rsidR="00A64919">
        <w:rPr>
          <w:rFonts w:ascii="Arial" w:hAnsi="Arial" w:cs="Arial"/>
          <w:color w:val="000000"/>
          <w:vertAlign w:val="superscript"/>
          <w:lang w:val="fr-FR" w:eastAsia="fr-FR"/>
        </w:rPr>
        <w:t>e</w:t>
      </w:r>
      <w:r w:rsidRPr="00A86354" w:rsidR="00D97A01">
        <w:rPr>
          <w:rFonts w:ascii="Arial" w:hAnsi="Arial" w:cs="Arial"/>
          <w:color w:val="000000"/>
          <w:lang w:val="fr-FR" w:eastAsia="fr-FR"/>
        </w:rPr>
        <w:t xml:space="preserve"> session </w:t>
      </w:r>
      <w:r w:rsidRPr="00A86354">
        <w:rPr>
          <w:rFonts w:ascii="Arial" w:hAnsi="Arial" w:cs="Arial"/>
          <w:color w:val="000000"/>
          <w:lang w:val="fr-FR" w:eastAsia="fr-FR"/>
        </w:rPr>
        <w:t>dans la composition suivante</w:t>
      </w:r>
      <w:r w:rsidRPr="00A86354" w:rsidR="000807D5">
        <w:rPr>
          <w:rFonts w:ascii="Arial" w:hAnsi="Arial" w:cs="Arial"/>
          <w:color w:val="000000"/>
          <w:lang w:val="fr-FR" w:eastAsia="fr-FR"/>
        </w:rPr>
        <w:t> :</w:t>
      </w:r>
    </w:p>
    <w:p w:rsidRPr="00A86354" w:rsidR="00D97A01" w:rsidP="00D97A01" w:rsidRDefault="00D97A01" w14:paraId="4DC9B08F" w14:textId="77777777">
      <w:pPr>
        <w:rPr>
          <w:rFonts w:ascii="Arial" w:hAnsi="Arial" w:cs="Arial"/>
          <w:color w:val="000000"/>
          <w:lang w:val="fr-FR" w:eastAsia="fr-FR"/>
        </w:rPr>
      </w:pPr>
      <w:r w:rsidRPr="00A86354">
        <w:rPr>
          <w:rFonts w:ascii="Arial" w:hAnsi="Arial" w:cs="Arial"/>
          <w:color w:val="000000"/>
          <w:lang w:val="fr-FR" w:eastAsia="fr-FR"/>
        </w:rPr>
        <w:t> </w:t>
      </w:r>
    </w:p>
    <w:p w:rsidRPr="00A86354" w:rsidR="00DB04D6" w:rsidP="00DB04D6" w:rsidRDefault="00DB04D6" w14:paraId="47033E49" w14:textId="77777777">
      <w:pPr>
        <w:ind w:left="1418"/>
        <w:rPr>
          <w:rFonts w:ascii="Arial" w:hAnsi="Arial" w:cs="Arial"/>
          <w:lang w:val="fr-FR" w:eastAsia="fr-FR"/>
        </w:rPr>
      </w:pPr>
      <w:r w:rsidRPr="00A86354">
        <w:rPr>
          <w:rFonts w:ascii="Arial" w:hAnsi="Arial" w:cs="Arial"/>
          <w:lang w:val="fr-FR" w:eastAsia="fr-FR"/>
        </w:rPr>
        <w:t>Karin LUKAS, Présidente</w:t>
      </w:r>
    </w:p>
    <w:p w:rsidRPr="00A86354" w:rsidR="00DB04D6" w:rsidP="00DB04D6" w:rsidRDefault="00DB04D6" w14:paraId="62795D78" w14:textId="77777777">
      <w:pPr>
        <w:ind w:left="1418"/>
        <w:rPr>
          <w:rFonts w:ascii="Arial" w:hAnsi="Arial" w:cs="Arial"/>
          <w:lang w:val="fr-FR" w:eastAsia="fr-FR"/>
        </w:rPr>
      </w:pPr>
      <w:r w:rsidRPr="00A86354">
        <w:rPr>
          <w:rFonts w:ascii="Arial" w:hAnsi="Arial" w:cs="Arial"/>
          <w:lang w:val="fr-FR" w:eastAsia="fr-FR"/>
        </w:rPr>
        <w:t>Eliane CHEMLA, Vice-Présidente</w:t>
      </w:r>
    </w:p>
    <w:p w:rsidRPr="00A86354" w:rsidR="00DB04D6" w:rsidP="00DB04D6" w:rsidRDefault="00DB04D6" w14:paraId="6503B476" w14:textId="77777777">
      <w:pPr>
        <w:ind w:left="1418"/>
        <w:rPr>
          <w:rFonts w:ascii="Arial" w:hAnsi="Arial" w:cs="Arial"/>
          <w:lang w:val="fr-FR" w:eastAsia="fr-FR"/>
        </w:rPr>
      </w:pPr>
      <w:r w:rsidRPr="00A86354">
        <w:rPr>
          <w:rFonts w:ascii="Arial" w:hAnsi="Arial" w:cs="Arial"/>
          <w:lang w:val="fr-FR" w:eastAsia="fr-FR"/>
        </w:rPr>
        <w:t>Aoife NOLAN, Vice-Présidente</w:t>
      </w:r>
    </w:p>
    <w:p w:rsidRPr="00A86354" w:rsidR="00D97A01" w:rsidP="00DB04D6" w:rsidRDefault="00DB04D6" w14:paraId="50B57117" w14:textId="5A2EF3F9">
      <w:pPr>
        <w:ind w:left="1418"/>
        <w:rPr>
          <w:rFonts w:ascii="Arial" w:hAnsi="Arial" w:cs="Arial"/>
          <w:lang w:val="fr-FR" w:eastAsia="fr-FR"/>
        </w:rPr>
      </w:pPr>
      <w:r w:rsidRPr="00A86354">
        <w:rPr>
          <w:rFonts w:ascii="Arial" w:hAnsi="Arial" w:cs="Arial"/>
          <w:lang w:val="fr-FR" w:eastAsia="fr-FR"/>
        </w:rPr>
        <w:t>Giuseppe PALMISANO, Rapporteur général</w:t>
      </w:r>
      <w:r w:rsidRPr="00A86354" w:rsidR="00D97A01">
        <w:rPr>
          <w:rFonts w:ascii="Arial" w:hAnsi="Arial" w:cs="Arial"/>
          <w:lang w:val="fr-FR" w:eastAsia="fr-FR"/>
        </w:rPr>
        <w:t xml:space="preserve"> </w:t>
      </w:r>
    </w:p>
    <w:p w:rsidRPr="00A86354" w:rsidR="00D97A01" w:rsidP="00D97A01" w:rsidRDefault="00D97A01" w14:paraId="5BC050BA" w14:textId="77777777">
      <w:pPr>
        <w:ind w:left="1418"/>
        <w:rPr>
          <w:rFonts w:ascii="Arial" w:hAnsi="Arial" w:eastAsia="Calibri" w:cs="Arial"/>
          <w:lang w:val="fr-FR" w:eastAsia="fr-FR"/>
        </w:rPr>
      </w:pPr>
      <w:r w:rsidRPr="00A86354">
        <w:rPr>
          <w:rFonts w:ascii="Arial" w:hAnsi="Arial" w:eastAsia="Calibri" w:cs="Arial"/>
          <w:lang w:val="fr-FR" w:eastAsia="fr-FR"/>
        </w:rPr>
        <w:t>József HAJDU</w:t>
      </w:r>
    </w:p>
    <w:p w:rsidRPr="00A86354" w:rsidR="00D97A01" w:rsidP="00D97A01" w:rsidRDefault="00D97A01" w14:paraId="7BE5D372" w14:textId="77777777">
      <w:pPr>
        <w:ind w:left="1418"/>
        <w:rPr>
          <w:rFonts w:ascii="Arial" w:hAnsi="Arial" w:eastAsia="Calibri" w:cs="Arial"/>
          <w:lang w:val="fr-FR" w:eastAsia="fr-FR"/>
        </w:rPr>
      </w:pPr>
      <w:r w:rsidRPr="00A86354">
        <w:rPr>
          <w:rFonts w:ascii="Arial" w:hAnsi="Arial" w:eastAsia="Calibri" w:cs="Arial"/>
          <w:lang w:val="fr-FR" w:eastAsia="fr-FR"/>
        </w:rPr>
        <w:t>Barbara KRESAL</w:t>
      </w:r>
    </w:p>
    <w:p w:rsidRPr="00A86354" w:rsidR="00D97A01" w:rsidP="00D97A01" w:rsidRDefault="00D97A01" w14:paraId="3AEDC17D" w14:textId="77777777">
      <w:pPr>
        <w:ind w:left="1418"/>
        <w:rPr>
          <w:rFonts w:ascii="Arial" w:hAnsi="Arial" w:eastAsia="Calibri" w:cs="Arial"/>
          <w:lang w:val="fr-FR" w:eastAsia="fr-FR"/>
        </w:rPr>
      </w:pPr>
      <w:r w:rsidRPr="00A86354">
        <w:rPr>
          <w:rFonts w:ascii="Arial" w:hAnsi="Arial" w:eastAsia="Calibri" w:cs="Arial"/>
          <w:lang w:val="fr-FR" w:eastAsia="fr-FR"/>
        </w:rPr>
        <w:t>Kristine DUPATE</w:t>
      </w:r>
    </w:p>
    <w:p w:rsidRPr="00A86354" w:rsidR="00D97A01" w:rsidP="00D97A01" w:rsidRDefault="00D97A01" w14:paraId="4E24A2AA" w14:textId="77777777">
      <w:pPr>
        <w:ind w:left="698" w:firstLine="720"/>
        <w:rPr>
          <w:rFonts w:ascii="Arial" w:hAnsi="Arial" w:eastAsia="Calibri" w:cs="Arial"/>
          <w:lang w:val="fr-FR" w:eastAsia="fr-FR"/>
        </w:rPr>
      </w:pPr>
      <w:r w:rsidRPr="00A86354">
        <w:rPr>
          <w:rFonts w:ascii="Arial" w:hAnsi="Arial" w:eastAsia="Calibri" w:cs="Arial"/>
          <w:lang w:val="fr-FR" w:eastAsia="fr-FR"/>
        </w:rPr>
        <w:t xml:space="preserve">Karin </w:t>
      </w:r>
      <w:r w:rsidRPr="00A86354">
        <w:rPr>
          <w:rFonts w:ascii="Arial" w:hAnsi="Arial" w:cs="Arial"/>
          <w:bCs/>
          <w:lang w:val="fr-FR"/>
        </w:rPr>
        <w:t>Møhl</w:t>
      </w:r>
      <w:r w:rsidRPr="00A86354">
        <w:rPr>
          <w:bCs/>
          <w:lang w:val="fr-FR"/>
        </w:rPr>
        <w:t xml:space="preserve"> </w:t>
      </w:r>
      <w:r w:rsidRPr="00A86354">
        <w:rPr>
          <w:rFonts w:ascii="Arial" w:hAnsi="Arial" w:eastAsia="Calibri" w:cs="Arial"/>
          <w:lang w:val="fr-FR" w:eastAsia="fr-FR"/>
        </w:rPr>
        <w:t xml:space="preserve">LARSEN </w:t>
      </w:r>
    </w:p>
    <w:p w:rsidRPr="00A86354" w:rsidR="00D97A01" w:rsidP="00D97A01" w:rsidRDefault="00D97A01" w14:paraId="6E812DD2" w14:textId="77777777">
      <w:pPr>
        <w:ind w:left="698" w:firstLine="720"/>
        <w:rPr>
          <w:rFonts w:ascii="Arial" w:hAnsi="Arial" w:eastAsia="Calibri" w:cs="Arial"/>
          <w:lang w:val="fr-FR" w:eastAsia="fr-FR"/>
        </w:rPr>
      </w:pPr>
      <w:r w:rsidRPr="00A86354">
        <w:rPr>
          <w:rFonts w:ascii="Arial" w:hAnsi="Arial" w:eastAsia="Calibri" w:cs="Arial"/>
          <w:lang w:val="fr-FR" w:eastAsia="fr-FR"/>
        </w:rPr>
        <w:t>Yusuf BALCI</w:t>
      </w:r>
    </w:p>
    <w:p w:rsidRPr="00A86354" w:rsidR="00D97A01" w:rsidP="00D97A01" w:rsidRDefault="00D97A01" w14:paraId="44E58CC0" w14:textId="77777777">
      <w:pPr>
        <w:autoSpaceDE w:val="0"/>
        <w:autoSpaceDN w:val="0"/>
        <w:adjustRightInd w:val="0"/>
        <w:ind w:left="1418"/>
        <w:rPr>
          <w:rFonts w:ascii="Arial" w:hAnsi="Arial"/>
          <w:lang w:val="fr-FR" w:eastAsia="en-US"/>
        </w:rPr>
      </w:pPr>
      <w:r w:rsidRPr="00A86354">
        <w:rPr>
          <w:rFonts w:ascii="Arial" w:hAnsi="Arial"/>
          <w:lang w:val="fr-FR" w:eastAsia="en-US"/>
        </w:rPr>
        <w:t>Tatiana PUIU</w:t>
      </w:r>
    </w:p>
    <w:p w:rsidRPr="00A86354" w:rsidR="00D97A01" w:rsidP="00D97A01" w:rsidRDefault="00D97A01" w14:paraId="35557825" w14:textId="77777777">
      <w:pPr>
        <w:autoSpaceDE w:val="0"/>
        <w:autoSpaceDN w:val="0"/>
        <w:adjustRightInd w:val="0"/>
        <w:ind w:left="1418"/>
        <w:rPr>
          <w:rFonts w:ascii="Arial" w:hAnsi="Arial"/>
          <w:lang w:val="fr-FR" w:eastAsia="en-US"/>
        </w:rPr>
      </w:pPr>
      <w:r w:rsidRPr="00A86354">
        <w:rPr>
          <w:rFonts w:ascii="Arial" w:hAnsi="Arial"/>
          <w:lang w:val="fr-FR" w:eastAsia="en-US"/>
        </w:rPr>
        <w:t>George THEODOSIS</w:t>
      </w:r>
    </w:p>
    <w:p w:rsidRPr="00A86354" w:rsidR="00D97A01" w:rsidP="00D97A01" w:rsidRDefault="00D97A01" w14:paraId="2AEEE77A" w14:textId="77777777">
      <w:pPr>
        <w:autoSpaceDE w:val="0"/>
        <w:autoSpaceDN w:val="0"/>
        <w:adjustRightInd w:val="0"/>
        <w:ind w:left="1418"/>
        <w:rPr>
          <w:rFonts w:ascii="Arial" w:hAnsi="Arial"/>
          <w:lang w:val="fr-FR" w:eastAsia="en-US"/>
        </w:rPr>
      </w:pPr>
      <w:r w:rsidRPr="00A86354">
        <w:rPr>
          <w:rFonts w:ascii="Arial" w:hAnsi="Arial"/>
          <w:lang w:val="fr-FR" w:eastAsia="en-US"/>
        </w:rPr>
        <w:t>Mario VINKOVIC</w:t>
      </w:r>
    </w:p>
    <w:p w:rsidRPr="00A86354" w:rsidR="00D97A01" w:rsidP="00D97A01" w:rsidRDefault="00D97A01" w14:paraId="2A330A77" w14:textId="77777777">
      <w:pPr>
        <w:autoSpaceDE w:val="0"/>
        <w:autoSpaceDN w:val="0"/>
        <w:adjustRightInd w:val="0"/>
        <w:ind w:left="1418"/>
        <w:rPr>
          <w:rFonts w:ascii="Arial" w:hAnsi="Arial"/>
          <w:lang w:val="fr-FR" w:eastAsia="en-US"/>
        </w:rPr>
      </w:pPr>
      <w:r w:rsidRPr="00A86354">
        <w:rPr>
          <w:rFonts w:ascii="Arial" w:hAnsi="Arial"/>
          <w:lang w:val="fr-FR" w:eastAsia="en-US"/>
        </w:rPr>
        <w:t>Miriam KULLMANN</w:t>
      </w:r>
    </w:p>
    <w:p w:rsidRPr="00A86354" w:rsidR="00D97A01" w:rsidP="00D97A01" w:rsidRDefault="00D97A01" w14:paraId="0325343A" w14:textId="77777777">
      <w:pPr>
        <w:ind w:firstLine="1418"/>
        <w:rPr>
          <w:rFonts w:ascii="Arial" w:hAnsi="Arial" w:cs="Arial"/>
          <w:color w:val="000000"/>
          <w:lang w:val="fr-FR" w:eastAsia="fr-FR"/>
        </w:rPr>
      </w:pPr>
      <w:r w:rsidRPr="00A86354">
        <w:rPr>
          <w:rFonts w:ascii="Arial" w:hAnsi="Arial" w:cs="Arial"/>
          <w:color w:val="000000"/>
          <w:lang w:val="fr-FR" w:eastAsia="fr-FR"/>
        </w:rPr>
        <w:t> </w:t>
      </w:r>
    </w:p>
    <w:p w:rsidRPr="00A86354" w:rsidR="00D97A01" w:rsidP="00D97A01" w:rsidRDefault="00DB04D6" w14:paraId="45514300" w14:textId="650CB4CB">
      <w:pPr>
        <w:rPr>
          <w:rFonts w:ascii="Arial" w:hAnsi="Arial" w:cs="Arial"/>
          <w:color w:val="000000"/>
          <w:lang w:val="fr-FR" w:eastAsia="fr-FR"/>
        </w:rPr>
      </w:pPr>
      <w:r w:rsidRPr="00A86354">
        <w:rPr>
          <w:rFonts w:ascii="Arial" w:hAnsi="Arial" w:cs="Arial"/>
          <w:color w:val="000000"/>
          <w:lang w:val="fr-FR" w:eastAsia="fr-FR"/>
        </w:rPr>
        <w:t xml:space="preserve">Assisté de Henrik KRISTENSEN, Secrétaire exécutif adjoint </w:t>
      </w:r>
      <w:r w:rsidRPr="00A86354" w:rsidR="00D97A01">
        <w:rPr>
          <w:rFonts w:ascii="Arial" w:hAnsi="Arial" w:cs="Arial"/>
          <w:color w:val="000000"/>
          <w:lang w:val="fr-FR" w:eastAsia="fr-FR"/>
        </w:rPr>
        <w:br w:type="page"/>
      </w:r>
    </w:p>
    <w:p w:rsidRPr="00A86354" w:rsidR="00D97A01" w:rsidP="00D97A01" w:rsidRDefault="00DB04D6" w14:paraId="59843E1A" w14:textId="217CC0F4">
      <w:pPr>
        <w:rPr>
          <w:rFonts w:ascii="Arial" w:hAnsi="Arial" w:cs="Arial"/>
          <w:lang w:val="fr-FR"/>
        </w:rPr>
      </w:pPr>
      <w:r w:rsidRPr="00A86354">
        <w:rPr>
          <w:rFonts w:ascii="Arial" w:hAnsi="Arial" w:cs="Arial"/>
          <w:lang w:val="fr-FR"/>
        </w:rPr>
        <w:lastRenderedPageBreak/>
        <w:t xml:space="preserve">Après avoir délibéré les </w:t>
      </w:r>
      <w:r w:rsidRPr="00A86354" w:rsidR="00F46455">
        <w:rPr>
          <w:rFonts w:ascii="Arial" w:hAnsi="Arial" w:cs="Arial"/>
          <w:bCs/>
          <w:iCs/>
          <w:lang w:val="fr-FR"/>
        </w:rPr>
        <w:t xml:space="preserve">18 </w:t>
      </w:r>
      <w:r w:rsidRPr="00A86354" w:rsidR="00DD6AF6">
        <w:rPr>
          <w:rFonts w:ascii="Arial" w:hAnsi="Arial" w:cs="Arial"/>
          <w:bCs/>
          <w:iCs/>
          <w:lang w:val="fr-FR"/>
        </w:rPr>
        <w:t>mai</w:t>
      </w:r>
      <w:r w:rsidRPr="00A86354" w:rsidR="00F46455">
        <w:rPr>
          <w:rFonts w:ascii="Arial" w:hAnsi="Arial" w:cs="Arial"/>
          <w:bCs/>
          <w:iCs/>
          <w:lang w:val="fr-FR"/>
        </w:rPr>
        <w:t xml:space="preserve">, 6 juillet, 14 septembre </w:t>
      </w:r>
      <w:r w:rsidRPr="00A86354">
        <w:rPr>
          <w:rFonts w:ascii="Arial" w:hAnsi="Arial" w:cs="Arial"/>
          <w:bCs/>
          <w:iCs/>
          <w:lang w:val="fr-FR"/>
        </w:rPr>
        <w:t>et</w:t>
      </w:r>
      <w:r w:rsidRPr="00A86354" w:rsidR="00F46455">
        <w:rPr>
          <w:rFonts w:ascii="Arial" w:hAnsi="Arial" w:cs="Arial"/>
          <w:lang w:val="fr-FR"/>
        </w:rPr>
        <w:t xml:space="preserve"> 19 octobre 2022</w:t>
      </w:r>
      <w:r w:rsidRPr="00A86354" w:rsidR="00D97A01">
        <w:rPr>
          <w:rFonts w:ascii="Arial" w:hAnsi="Arial" w:cs="Arial"/>
          <w:lang w:val="fr-FR"/>
        </w:rPr>
        <w:t xml:space="preserve">, </w:t>
      </w:r>
    </w:p>
    <w:p w:rsidRPr="00A86354" w:rsidR="00D97A01" w:rsidP="00D97A01" w:rsidRDefault="00D97A01" w14:paraId="414F59E4" w14:textId="77777777">
      <w:pPr>
        <w:rPr>
          <w:rFonts w:ascii="Arial" w:hAnsi="Arial" w:cs="Arial"/>
          <w:lang w:val="fr-FR"/>
        </w:rPr>
      </w:pPr>
    </w:p>
    <w:p w:rsidRPr="00A86354" w:rsidR="00D97A01" w:rsidP="00D97A01" w:rsidRDefault="00DB04D6" w14:paraId="1C384FA1" w14:textId="1B57B8CC">
      <w:pPr>
        <w:rPr>
          <w:rFonts w:ascii="Arial" w:hAnsi="Arial" w:cs="Arial"/>
          <w:lang w:val="fr-FR"/>
        </w:rPr>
      </w:pPr>
      <w:r w:rsidRPr="00A86354">
        <w:rPr>
          <w:rFonts w:ascii="Arial" w:hAnsi="Arial" w:cs="Arial"/>
          <w:lang w:val="fr-FR"/>
        </w:rPr>
        <w:t xml:space="preserve">Sur la base du rapport présenté par </w:t>
      </w:r>
      <w:r w:rsidRPr="00A86354" w:rsidR="00094321">
        <w:rPr>
          <w:rFonts w:ascii="Arial" w:hAnsi="Arial" w:eastAsia="Calibri"/>
          <w:szCs w:val="22"/>
          <w:lang w:val="fr-FR"/>
        </w:rPr>
        <w:t>Aoif</w:t>
      </w:r>
      <w:r w:rsidRPr="00A86354" w:rsidR="004D42D9">
        <w:rPr>
          <w:rFonts w:ascii="Arial" w:hAnsi="Arial" w:eastAsia="Calibri"/>
          <w:szCs w:val="22"/>
          <w:lang w:val="fr-FR"/>
        </w:rPr>
        <w:t>e</w:t>
      </w:r>
      <w:r w:rsidRPr="00A86354" w:rsidR="00094321">
        <w:rPr>
          <w:rFonts w:ascii="Arial" w:hAnsi="Arial" w:eastAsia="Calibri"/>
          <w:szCs w:val="22"/>
          <w:lang w:val="fr-FR"/>
        </w:rPr>
        <w:t xml:space="preserve"> N</w:t>
      </w:r>
      <w:r w:rsidRPr="00A86354" w:rsidR="003C1664">
        <w:rPr>
          <w:rFonts w:ascii="Arial" w:hAnsi="Arial" w:eastAsia="Calibri"/>
          <w:szCs w:val="22"/>
          <w:lang w:val="fr-FR"/>
        </w:rPr>
        <w:t>OLAN</w:t>
      </w:r>
      <w:r w:rsidRPr="00A86354" w:rsidR="00D97A01">
        <w:rPr>
          <w:rFonts w:ascii="Arial" w:hAnsi="Arial" w:cs="Arial"/>
          <w:lang w:val="fr-FR"/>
        </w:rPr>
        <w:t>,</w:t>
      </w:r>
    </w:p>
    <w:p w:rsidRPr="00A86354" w:rsidR="00D97A01" w:rsidP="00D97A01" w:rsidRDefault="00D97A01" w14:paraId="37539820" w14:textId="77777777">
      <w:pPr>
        <w:rPr>
          <w:rFonts w:ascii="Arial" w:hAnsi="Arial" w:cs="Arial"/>
          <w:lang w:val="fr-FR"/>
        </w:rPr>
      </w:pPr>
    </w:p>
    <w:p w:rsidRPr="00A86354" w:rsidR="00D97A01" w:rsidP="00D97A01" w:rsidRDefault="00DB04D6" w14:paraId="1CFFC5CA" w14:textId="671CDF7F">
      <w:pPr>
        <w:rPr>
          <w:rFonts w:ascii="Arial" w:hAnsi="Arial" w:cs="Arial"/>
          <w:lang w:val="fr-FR"/>
        </w:rPr>
      </w:pPr>
      <w:bookmarkStart w:name="lt_pId030" w:id="3"/>
      <w:r w:rsidRPr="00A86354">
        <w:rPr>
          <w:rFonts w:ascii="Arial" w:hAnsi="Arial" w:cs="Arial"/>
          <w:lang w:val="fr-FR"/>
        </w:rPr>
        <w:t xml:space="preserve">Rend la décision suivante adoptée à cette </w:t>
      </w:r>
      <w:r w:rsidRPr="00A86354" w:rsidR="003C1664">
        <w:rPr>
          <w:rFonts w:ascii="Arial" w:hAnsi="Arial" w:cs="Arial"/>
          <w:lang w:val="fr-FR"/>
        </w:rPr>
        <w:t xml:space="preserve">dernière </w:t>
      </w:r>
      <w:r w:rsidRPr="00A86354">
        <w:rPr>
          <w:rFonts w:ascii="Arial" w:hAnsi="Arial" w:cs="Arial"/>
          <w:lang w:val="fr-FR"/>
        </w:rPr>
        <w:t>date</w:t>
      </w:r>
      <w:r w:rsidRPr="00A86354" w:rsidR="000807D5">
        <w:rPr>
          <w:rFonts w:ascii="Arial" w:hAnsi="Arial" w:cs="Arial"/>
          <w:lang w:val="fr-FR"/>
        </w:rPr>
        <w:t> :</w:t>
      </w:r>
      <w:bookmarkEnd w:id="3"/>
    </w:p>
    <w:p w:rsidRPr="00A86354" w:rsidR="00D97A01" w:rsidP="00D97A01" w:rsidRDefault="00D97A01" w14:paraId="711894DB" w14:textId="77777777">
      <w:pPr>
        <w:rPr>
          <w:rFonts w:ascii="Arial" w:hAnsi="Arial" w:cs="Arial"/>
          <w:lang w:val="fr-FR"/>
        </w:rPr>
      </w:pPr>
    </w:p>
    <w:p w:rsidRPr="00A86354" w:rsidR="00770BA7" w:rsidP="00D97A01" w:rsidRDefault="00770BA7" w14:paraId="740EDE8C" w14:textId="77777777">
      <w:pPr>
        <w:keepNext/>
        <w:keepLines/>
        <w:outlineLvl w:val="0"/>
        <w:rPr>
          <w:rFonts w:ascii="Arial" w:hAnsi="Arial" w:cs="Arial" w:eastAsiaTheme="majorEastAsia"/>
          <w:b/>
          <w:bCs/>
          <w:lang w:val="fr-FR"/>
        </w:rPr>
      </w:pPr>
    </w:p>
    <w:p w:rsidRPr="00A86354" w:rsidR="00D97A01" w:rsidP="00D97A01" w:rsidRDefault="00D97A01" w14:paraId="571386D9" w14:textId="4A031A25">
      <w:pPr>
        <w:keepNext/>
        <w:keepLines/>
        <w:outlineLvl w:val="0"/>
        <w:rPr>
          <w:rFonts w:ascii="Arial" w:hAnsi="Arial" w:cs="Arial" w:eastAsiaTheme="majorEastAsia"/>
          <w:b/>
          <w:bCs/>
          <w:lang w:val="fr-FR"/>
        </w:rPr>
      </w:pPr>
      <w:r w:rsidRPr="00A86354">
        <w:rPr>
          <w:rFonts w:ascii="Arial" w:hAnsi="Arial" w:cs="Arial" w:eastAsiaTheme="majorEastAsia"/>
          <w:b/>
          <w:bCs/>
          <w:lang w:val="fr-FR"/>
        </w:rPr>
        <w:t>PROC</w:t>
      </w:r>
      <w:r w:rsidRPr="00A86354" w:rsidR="00DB04D6">
        <w:rPr>
          <w:rFonts w:ascii="Arial" w:hAnsi="Arial" w:cs="Arial" w:eastAsiaTheme="majorEastAsia"/>
          <w:b/>
          <w:bCs/>
          <w:lang w:val="fr-FR"/>
        </w:rPr>
        <w:t>É</w:t>
      </w:r>
      <w:r w:rsidRPr="00A86354">
        <w:rPr>
          <w:rFonts w:ascii="Arial" w:hAnsi="Arial" w:cs="Arial" w:eastAsiaTheme="majorEastAsia"/>
          <w:b/>
          <w:bCs/>
          <w:lang w:val="fr-FR"/>
        </w:rPr>
        <w:t>DURE</w:t>
      </w:r>
    </w:p>
    <w:p w:rsidRPr="00A86354" w:rsidR="00D97A01" w:rsidP="00D97A01" w:rsidRDefault="00D97A01" w14:paraId="23292540" w14:textId="77777777">
      <w:pPr>
        <w:tabs>
          <w:tab w:val="left" w:pos="709"/>
        </w:tabs>
        <w:rPr>
          <w:rFonts w:ascii="Arial" w:hAnsi="Arial" w:cs="Arial"/>
          <w:lang w:val="fr-FR"/>
        </w:rPr>
      </w:pPr>
    </w:p>
    <w:p w:rsidRPr="00A86354" w:rsidR="00D97A01" w:rsidP="00CE016A" w:rsidRDefault="00DB04D6" w14:paraId="7C86C9BC" w14:textId="0894AE82">
      <w:pPr>
        <w:pStyle w:val="ListParagraph"/>
        <w:numPr>
          <w:ilvl w:val="0"/>
          <w:numId w:val="1"/>
        </w:numPr>
        <w:tabs>
          <w:tab w:val="left" w:pos="709"/>
        </w:tabs>
        <w:ind w:left="0" w:firstLine="0"/>
        <w:rPr>
          <w:rFonts w:cs="Arial"/>
          <w:lang w:val="fr-FR"/>
        </w:rPr>
      </w:pPr>
      <w:r w:rsidRPr="00A86354">
        <w:rPr>
          <w:rFonts w:cs="Arial"/>
          <w:lang w:val="fr-FR"/>
        </w:rPr>
        <w:t>La réclamation présentée par le Forum européen des personnes handicapées (EDF) et Inclusion Europe</w:t>
      </w:r>
      <w:r w:rsidRPr="00A86354">
        <w:rPr>
          <w:rFonts w:cs="Arial"/>
          <w:b/>
          <w:bCs/>
          <w:lang w:val="fr-FR"/>
        </w:rPr>
        <w:t xml:space="preserve"> </w:t>
      </w:r>
      <w:r w:rsidRPr="00A86354">
        <w:rPr>
          <w:rFonts w:cs="Arial"/>
          <w:lang w:val="fr-FR"/>
        </w:rPr>
        <w:t>a été enregistrée le mai</w:t>
      </w:r>
      <w:r w:rsidRPr="00A86354" w:rsidR="00094321">
        <w:rPr>
          <w:rFonts w:cs="Arial"/>
          <w:lang w:val="fr-FR"/>
        </w:rPr>
        <w:t xml:space="preserve"> 2018</w:t>
      </w:r>
      <w:r w:rsidRPr="00A86354" w:rsidR="00D97A01">
        <w:rPr>
          <w:rFonts w:cs="Arial"/>
          <w:lang w:val="fr-FR"/>
        </w:rPr>
        <w:t xml:space="preserve">. </w:t>
      </w:r>
    </w:p>
    <w:p w:rsidRPr="00A86354" w:rsidR="00D97A01" w:rsidP="00D97A01" w:rsidRDefault="00D97A01" w14:paraId="59F6280F" w14:textId="77777777">
      <w:pPr>
        <w:pStyle w:val="ListParagraph"/>
        <w:tabs>
          <w:tab w:val="left" w:pos="709"/>
        </w:tabs>
        <w:rPr>
          <w:rFonts w:cs="Arial"/>
          <w:lang w:val="fr-FR"/>
        </w:rPr>
      </w:pPr>
    </w:p>
    <w:p w:rsidRPr="00A86354" w:rsidR="0046722D" w:rsidP="00CE016A" w:rsidRDefault="00DB04D6" w14:paraId="03340769" w14:textId="0CB45F3B">
      <w:pPr>
        <w:pStyle w:val="ListParagraph"/>
        <w:numPr>
          <w:ilvl w:val="0"/>
          <w:numId w:val="1"/>
        </w:numPr>
        <w:tabs>
          <w:tab w:val="left" w:pos="709"/>
        </w:tabs>
        <w:ind w:left="0" w:firstLine="0"/>
        <w:rPr>
          <w:rFonts w:cs="Arial"/>
          <w:lang w:val="fr-FR"/>
        </w:rPr>
      </w:pPr>
      <w:r w:rsidRPr="00A86354">
        <w:rPr>
          <w:rFonts w:cs="Arial"/>
          <w:lang w:val="fr-FR"/>
        </w:rPr>
        <w:t>Les</w:t>
      </w:r>
      <w:r w:rsidRPr="00A86354" w:rsidR="0046722D">
        <w:rPr>
          <w:rFonts w:cs="Arial"/>
          <w:lang w:val="fr-FR"/>
        </w:rPr>
        <w:t xml:space="preserve"> organisations</w:t>
      </w:r>
      <w:r w:rsidRPr="00A86354" w:rsidR="00D97A01">
        <w:rPr>
          <w:rFonts w:cs="Arial"/>
          <w:lang w:val="fr-FR"/>
        </w:rPr>
        <w:t xml:space="preserve"> </w:t>
      </w:r>
      <w:r w:rsidRPr="00A86354">
        <w:rPr>
          <w:rFonts w:cs="Arial"/>
          <w:lang w:val="fr-FR"/>
        </w:rPr>
        <w:t xml:space="preserve">réclamantes </w:t>
      </w:r>
      <w:r w:rsidRPr="00A86354" w:rsidR="00D97A01">
        <w:rPr>
          <w:rFonts w:cs="Arial"/>
          <w:lang w:val="fr-FR"/>
        </w:rPr>
        <w:t>all</w:t>
      </w:r>
      <w:r w:rsidRPr="00A86354">
        <w:rPr>
          <w:rFonts w:cs="Arial"/>
          <w:lang w:val="fr-FR"/>
        </w:rPr>
        <w:t>èguent</w:t>
      </w:r>
      <w:r w:rsidRPr="00A86354" w:rsidR="00D97A01">
        <w:rPr>
          <w:rFonts w:cs="Arial"/>
          <w:lang w:val="fr-FR"/>
        </w:rPr>
        <w:t xml:space="preserve"> </w:t>
      </w:r>
      <w:r w:rsidRPr="00A86354">
        <w:rPr>
          <w:rFonts w:cs="Arial"/>
          <w:lang w:val="fr-FR"/>
        </w:rPr>
        <w:t xml:space="preserve">que la France </w:t>
      </w:r>
      <w:r w:rsidRPr="00A86354" w:rsidR="0036074C">
        <w:rPr>
          <w:rFonts w:cs="Arial"/>
          <w:lang w:val="fr-FR"/>
        </w:rPr>
        <w:t>n</w:t>
      </w:r>
      <w:r w:rsidRPr="00A86354" w:rsidR="0006032C">
        <w:rPr>
          <w:rFonts w:cs="Arial"/>
          <w:lang w:val="fr-FR"/>
        </w:rPr>
        <w:t>’</w:t>
      </w:r>
      <w:r w:rsidRPr="00A86354" w:rsidR="0036074C">
        <w:rPr>
          <w:rFonts w:cs="Arial"/>
          <w:lang w:val="fr-FR"/>
        </w:rPr>
        <w:t>a pas mis en œuvre les mesures nécessaires pour garantir dans les faits</w:t>
      </w:r>
      <w:r w:rsidRPr="00A86354" w:rsidR="000807D5">
        <w:rPr>
          <w:rFonts w:cs="Arial"/>
          <w:lang w:val="fr-FR"/>
        </w:rPr>
        <w:t> :</w:t>
      </w:r>
      <w:r w:rsidRPr="00A86354" w:rsidR="0046722D">
        <w:rPr>
          <w:rFonts w:cs="Arial"/>
          <w:lang w:val="fr-FR"/>
        </w:rPr>
        <w:t xml:space="preserve"> </w:t>
      </w:r>
    </w:p>
    <w:p w:rsidRPr="00A86354" w:rsidR="0046722D" w:rsidP="00770BA7" w:rsidRDefault="0046722D" w14:paraId="064E114B" w14:textId="77777777">
      <w:pPr>
        <w:pStyle w:val="ListParagraph"/>
        <w:rPr>
          <w:rFonts w:cs="Arial"/>
          <w:lang w:val="fr-FR"/>
        </w:rPr>
      </w:pPr>
    </w:p>
    <w:p w:rsidRPr="00A86354" w:rsidR="0046722D" w:rsidP="00CE016A" w:rsidRDefault="00A55580" w14:paraId="19A23F2D" w14:textId="0EF22B50">
      <w:pPr>
        <w:pStyle w:val="ListParagraph"/>
        <w:numPr>
          <w:ilvl w:val="0"/>
          <w:numId w:val="2"/>
        </w:numPr>
        <w:rPr>
          <w:rFonts w:cs="Arial"/>
          <w:lang w:val="fr-FR"/>
        </w:rPr>
      </w:pPr>
      <w:bookmarkStart w:name="_Hlk94525408" w:id="4"/>
      <w:r w:rsidRPr="00A86354">
        <w:rPr>
          <w:rFonts w:cs="Arial"/>
          <w:lang w:val="fr-FR"/>
        </w:rPr>
        <w:t>l</w:t>
      </w:r>
      <w:r w:rsidRPr="00A86354" w:rsidR="0006032C">
        <w:rPr>
          <w:rFonts w:cs="Arial"/>
          <w:lang w:val="fr-FR"/>
        </w:rPr>
        <w:t>’</w:t>
      </w:r>
      <w:r w:rsidRPr="00A86354">
        <w:rPr>
          <w:rFonts w:cs="Arial"/>
          <w:lang w:val="fr-FR"/>
        </w:rPr>
        <w:t xml:space="preserve">accès suffisant et effectif des personnes handicapées </w:t>
      </w:r>
      <w:r w:rsidRPr="00A86354" w:rsidR="00DD6AF6">
        <w:rPr>
          <w:rFonts w:cs="Arial"/>
          <w:lang w:val="fr-FR"/>
        </w:rPr>
        <w:t>aux services d’aide social</w:t>
      </w:r>
      <w:r w:rsidRPr="00A86354" w:rsidR="002C56FD">
        <w:rPr>
          <w:rFonts w:cs="Arial"/>
          <w:lang w:val="fr-FR"/>
        </w:rPr>
        <w:t xml:space="preserve"> et équipements </w:t>
      </w:r>
      <w:r w:rsidRPr="00A86354">
        <w:rPr>
          <w:rFonts w:cs="Arial"/>
          <w:lang w:val="fr-FR"/>
        </w:rPr>
        <w:t xml:space="preserve">(article 15§3 de la Charte), </w:t>
      </w:r>
      <w:r w:rsidRPr="00A86354" w:rsidR="009307A7">
        <w:rPr>
          <w:rFonts w:cs="Arial"/>
          <w:lang w:val="fr-FR"/>
        </w:rPr>
        <w:t xml:space="preserve">notamment à ceux qui sont </w:t>
      </w:r>
      <w:r w:rsidRPr="00A86354" w:rsidR="00381629">
        <w:rPr>
          <w:rFonts w:cs="Arial"/>
          <w:lang w:val="fr-FR"/>
        </w:rPr>
        <w:t xml:space="preserve">destinés à intégrer les enfants handicapés dans les écoles ordinaires </w:t>
      </w:r>
      <w:r w:rsidRPr="00A86354" w:rsidR="0046722D">
        <w:rPr>
          <w:rFonts w:cs="Arial"/>
          <w:lang w:val="fr-FR"/>
        </w:rPr>
        <w:t>(</w:t>
      </w:r>
      <w:r w:rsidRPr="00A86354" w:rsidR="009307A7">
        <w:rPr>
          <w:rFonts w:cs="Arial"/>
          <w:lang w:val="fr-FR"/>
        </w:rPr>
        <w:t>a</w:t>
      </w:r>
      <w:r w:rsidRPr="00A86354" w:rsidR="0046722D">
        <w:rPr>
          <w:rFonts w:cs="Arial"/>
          <w:lang w:val="fr-FR"/>
        </w:rPr>
        <w:t xml:space="preserve">rticle 15§3 </w:t>
      </w:r>
      <w:r w:rsidRPr="00A86354" w:rsidR="009307A7">
        <w:rPr>
          <w:rFonts w:cs="Arial"/>
          <w:lang w:val="fr-FR"/>
        </w:rPr>
        <w:t>lu seul et/</w:t>
      </w:r>
      <w:r w:rsidRPr="00A86354" w:rsidR="002C56FD">
        <w:rPr>
          <w:rFonts w:cs="Arial"/>
          <w:lang w:val="fr-FR"/>
        </w:rPr>
        <w:t>ou</w:t>
      </w:r>
      <w:r w:rsidRPr="00A86354" w:rsidR="009307A7">
        <w:rPr>
          <w:rFonts w:cs="Arial"/>
          <w:lang w:val="fr-FR"/>
        </w:rPr>
        <w:t xml:space="preserve"> en combinaison avec l</w:t>
      </w:r>
      <w:r w:rsidRPr="00A86354" w:rsidR="0006032C">
        <w:rPr>
          <w:rFonts w:cs="Arial"/>
          <w:lang w:val="fr-FR"/>
        </w:rPr>
        <w:t>’</w:t>
      </w:r>
      <w:r w:rsidRPr="00A86354" w:rsidR="009307A7">
        <w:rPr>
          <w:rFonts w:cs="Arial"/>
          <w:lang w:val="fr-FR"/>
        </w:rPr>
        <w:t>article E de la Charte sociale européenne révisée (</w:t>
      </w:r>
      <w:r w:rsidRPr="00A86354" w:rsidR="000807D5">
        <w:rPr>
          <w:rFonts w:cs="Arial"/>
          <w:lang w:val="fr-FR"/>
        </w:rPr>
        <w:t>« </w:t>
      </w:r>
      <w:r w:rsidRPr="00A86354" w:rsidR="00836719">
        <w:rPr>
          <w:rFonts w:cs="Arial"/>
          <w:lang w:val="fr-FR"/>
        </w:rPr>
        <w:t xml:space="preserve">la </w:t>
      </w:r>
      <w:r w:rsidRPr="00A86354" w:rsidR="009307A7">
        <w:rPr>
          <w:rFonts w:cs="Arial"/>
          <w:lang w:val="fr-FR"/>
        </w:rPr>
        <w:t>Charte</w:t>
      </w:r>
      <w:r w:rsidRPr="00A86354" w:rsidR="000807D5">
        <w:rPr>
          <w:rFonts w:cs="Arial"/>
          <w:lang w:val="fr-FR"/>
        </w:rPr>
        <w:t> »</w:t>
      </w:r>
      <w:r w:rsidRPr="00A86354" w:rsidR="009307A7">
        <w:rPr>
          <w:rFonts w:cs="Arial"/>
          <w:lang w:val="fr-FR"/>
        </w:rPr>
        <w:t>)</w:t>
      </w:r>
      <w:r w:rsidRPr="00A86354">
        <w:rPr>
          <w:rFonts w:cs="Arial"/>
          <w:lang w:val="fr-FR"/>
        </w:rPr>
        <w:t>)</w:t>
      </w:r>
      <w:r w:rsidRPr="00A86354" w:rsidR="000807D5">
        <w:rPr>
          <w:rFonts w:cs="Arial"/>
          <w:lang w:val="fr-FR"/>
        </w:rPr>
        <w:t> ;</w:t>
      </w:r>
    </w:p>
    <w:p w:rsidRPr="00A86354" w:rsidR="0046722D" w:rsidP="00770BA7" w:rsidRDefault="0046722D" w14:paraId="0CE0FE3F" w14:textId="77777777">
      <w:pPr>
        <w:pStyle w:val="ListParagraph"/>
        <w:rPr>
          <w:rFonts w:cs="Arial"/>
          <w:lang w:val="fr-FR"/>
        </w:rPr>
      </w:pPr>
    </w:p>
    <w:p w:rsidRPr="00A86354" w:rsidR="0046722D" w:rsidP="00CE016A" w:rsidRDefault="002C56FD" w14:paraId="709A11AC" w14:textId="69D33830">
      <w:pPr>
        <w:pStyle w:val="ListParagraph"/>
        <w:numPr>
          <w:ilvl w:val="0"/>
          <w:numId w:val="2"/>
        </w:numPr>
        <w:rPr>
          <w:rFonts w:cs="Arial"/>
          <w:lang w:val="fr-FR"/>
        </w:rPr>
      </w:pPr>
      <w:r w:rsidRPr="00A86354">
        <w:rPr>
          <w:rFonts w:cs="Arial"/>
          <w:lang w:val="fr-FR"/>
        </w:rPr>
        <w:t>l</w:t>
      </w:r>
      <w:r w:rsidRPr="00A86354" w:rsidR="0006032C">
        <w:rPr>
          <w:rFonts w:cs="Arial"/>
          <w:lang w:val="fr-FR"/>
        </w:rPr>
        <w:t>’</w:t>
      </w:r>
      <w:r w:rsidRPr="00A86354">
        <w:rPr>
          <w:rFonts w:cs="Arial"/>
          <w:lang w:val="fr-FR"/>
        </w:rPr>
        <w:t xml:space="preserve">accès égal et effectif des personnes handicapées aux services sociaux  </w:t>
      </w:r>
      <w:r w:rsidRPr="00A86354" w:rsidR="0046722D">
        <w:rPr>
          <w:rFonts w:cs="Arial"/>
          <w:lang w:val="fr-FR"/>
        </w:rPr>
        <w:t>(</w:t>
      </w:r>
      <w:r w:rsidRPr="00A86354">
        <w:rPr>
          <w:rFonts w:cs="Arial"/>
          <w:lang w:val="fr-FR"/>
        </w:rPr>
        <w:t xml:space="preserve">article </w:t>
      </w:r>
      <w:r w:rsidRPr="00A86354" w:rsidR="0046722D">
        <w:rPr>
          <w:rFonts w:cs="Arial"/>
          <w:lang w:val="fr-FR"/>
        </w:rPr>
        <w:t xml:space="preserve">14§1 </w:t>
      </w:r>
      <w:r w:rsidRPr="00A86354">
        <w:rPr>
          <w:rFonts w:cs="Arial"/>
          <w:lang w:val="fr-FR"/>
        </w:rPr>
        <w:t xml:space="preserve">lu seul </w:t>
      </w:r>
      <w:r w:rsidRPr="00A86354" w:rsidR="00926689">
        <w:rPr>
          <w:rFonts w:cs="Arial"/>
          <w:lang w:val="fr-FR"/>
        </w:rPr>
        <w:t>ou</w:t>
      </w:r>
      <w:r w:rsidRPr="00A86354">
        <w:rPr>
          <w:rFonts w:cs="Arial"/>
          <w:lang w:val="fr-FR"/>
        </w:rPr>
        <w:t xml:space="preserve"> en combinaison avec l</w:t>
      </w:r>
      <w:r w:rsidRPr="00A86354" w:rsidR="0006032C">
        <w:rPr>
          <w:rFonts w:cs="Arial"/>
          <w:lang w:val="fr-FR"/>
        </w:rPr>
        <w:t>’</w:t>
      </w:r>
      <w:r w:rsidRPr="00A86354">
        <w:rPr>
          <w:rFonts w:cs="Arial"/>
          <w:lang w:val="fr-FR"/>
        </w:rPr>
        <w:t>article E de la Charte</w:t>
      </w:r>
      <w:r w:rsidRPr="00A86354" w:rsidR="0046722D">
        <w:rPr>
          <w:rFonts w:cs="Arial"/>
          <w:lang w:val="fr-FR"/>
        </w:rPr>
        <w:t>)</w:t>
      </w:r>
      <w:r w:rsidRPr="00A86354" w:rsidR="000807D5">
        <w:rPr>
          <w:rFonts w:cs="Arial"/>
          <w:lang w:val="fr-FR"/>
        </w:rPr>
        <w:t> ;</w:t>
      </w:r>
      <w:r w:rsidRPr="00A86354" w:rsidR="0046722D">
        <w:rPr>
          <w:rFonts w:cs="Arial"/>
          <w:lang w:val="fr-FR"/>
        </w:rPr>
        <w:t xml:space="preserve"> </w:t>
      </w:r>
    </w:p>
    <w:p w:rsidRPr="00A86354" w:rsidR="0046722D" w:rsidP="00770BA7" w:rsidRDefault="0046722D" w14:paraId="0F56FFD9" w14:textId="77777777">
      <w:pPr>
        <w:pStyle w:val="ListParagraph"/>
        <w:rPr>
          <w:rFonts w:cs="Arial"/>
          <w:lang w:val="fr-FR"/>
        </w:rPr>
      </w:pPr>
    </w:p>
    <w:p w:rsidRPr="00A86354" w:rsidR="0046722D" w:rsidP="00CE016A" w:rsidRDefault="002C56FD" w14:paraId="6AD13CE8" w14:textId="3F5AB0FA">
      <w:pPr>
        <w:pStyle w:val="ListParagraph"/>
        <w:numPr>
          <w:ilvl w:val="0"/>
          <w:numId w:val="2"/>
        </w:numPr>
        <w:rPr>
          <w:rFonts w:cs="Arial"/>
          <w:lang w:val="fr-FR"/>
        </w:rPr>
      </w:pPr>
      <w:r w:rsidRPr="00A86354">
        <w:rPr>
          <w:rFonts w:cs="Arial"/>
          <w:lang w:val="fr-FR"/>
        </w:rPr>
        <w:t>le droit à la</w:t>
      </w:r>
      <w:r w:rsidRPr="00A86354" w:rsidR="00BD7437">
        <w:rPr>
          <w:rFonts w:cs="Arial"/>
          <w:lang w:val="fr-FR"/>
        </w:rPr>
        <w:t xml:space="preserve"> protection </w:t>
      </w:r>
      <w:r w:rsidRPr="00A86354">
        <w:rPr>
          <w:rFonts w:cs="Arial"/>
          <w:lang w:val="fr-FR"/>
        </w:rPr>
        <w:t>contre la pauvreté et l</w:t>
      </w:r>
      <w:r w:rsidRPr="00A86354" w:rsidR="0006032C">
        <w:rPr>
          <w:rFonts w:cs="Arial"/>
          <w:lang w:val="fr-FR"/>
        </w:rPr>
        <w:t>’</w:t>
      </w:r>
      <w:r w:rsidRPr="00A86354" w:rsidR="0046722D">
        <w:rPr>
          <w:rFonts w:cs="Arial"/>
          <w:lang w:val="fr-FR"/>
        </w:rPr>
        <w:t>exclusion</w:t>
      </w:r>
      <w:r w:rsidRPr="00A86354">
        <w:rPr>
          <w:rFonts w:cs="Arial"/>
          <w:lang w:val="fr-FR"/>
        </w:rPr>
        <w:t xml:space="preserve"> sociale</w:t>
      </w:r>
      <w:r w:rsidRPr="00A86354" w:rsidR="0046722D">
        <w:rPr>
          <w:rFonts w:cs="Arial"/>
          <w:lang w:val="fr-FR"/>
        </w:rPr>
        <w:t xml:space="preserve"> (</w:t>
      </w:r>
      <w:r w:rsidRPr="00A86354">
        <w:rPr>
          <w:rFonts w:cs="Arial"/>
          <w:lang w:val="fr-FR"/>
        </w:rPr>
        <w:t>a</w:t>
      </w:r>
      <w:r w:rsidRPr="00A86354" w:rsidR="0046722D">
        <w:rPr>
          <w:rFonts w:cs="Arial"/>
          <w:lang w:val="fr-FR"/>
        </w:rPr>
        <w:t xml:space="preserve">rticle 30 </w:t>
      </w:r>
      <w:r w:rsidRPr="00A86354">
        <w:rPr>
          <w:rFonts w:cs="Arial"/>
          <w:lang w:val="fr-FR"/>
        </w:rPr>
        <w:t>de la Charte)</w:t>
      </w:r>
      <w:r w:rsidRPr="00A86354" w:rsidR="000807D5">
        <w:rPr>
          <w:rFonts w:cs="Arial"/>
          <w:lang w:val="fr-FR"/>
        </w:rPr>
        <w:t> ;</w:t>
      </w:r>
    </w:p>
    <w:p w:rsidRPr="00A86354" w:rsidR="0046722D" w:rsidP="00770BA7" w:rsidRDefault="0046722D" w14:paraId="781A7B6D" w14:textId="77777777">
      <w:pPr>
        <w:pStyle w:val="ListParagraph"/>
        <w:rPr>
          <w:rFonts w:cs="Arial"/>
          <w:lang w:val="fr-FR"/>
        </w:rPr>
      </w:pPr>
    </w:p>
    <w:p w:rsidRPr="00A86354" w:rsidR="0046722D" w:rsidP="00CE016A" w:rsidRDefault="002C56FD" w14:paraId="0D4F7C2A" w14:textId="73FEC142">
      <w:pPr>
        <w:pStyle w:val="ListParagraph"/>
        <w:numPr>
          <w:ilvl w:val="0"/>
          <w:numId w:val="2"/>
        </w:numPr>
        <w:rPr>
          <w:rFonts w:cs="Arial"/>
          <w:lang w:val="fr-FR"/>
        </w:rPr>
      </w:pPr>
      <w:r w:rsidRPr="00A86354">
        <w:rPr>
          <w:rFonts w:cs="Arial"/>
          <w:lang w:val="fr-FR"/>
        </w:rPr>
        <w:t>l</w:t>
      </w:r>
      <w:r w:rsidRPr="00A86354" w:rsidR="0006032C">
        <w:rPr>
          <w:rFonts w:cs="Arial"/>
          <w:lang w:val="fr-FR"/>
        </w:rPr>
        <w:t>’</w:t>
      </w:r>
      <w:r w:rsidRPr="00A86354">
        <w:rPr>
          <w:rFonts w:cs="Arial"/>
          <w:lang w:val="fr-FR"/>
        </w:rPr>
        <w:t xml:space="preserve">accès égal et effectif des personnes handicapées au logement </w:t>
      </w:r>
      <w:r w:rsidRPr="00A86354" w:rsidR="0046722D">
        <w:rPr>
          <w:rFonts w:cs="Arial"/>
          <w:lang w:val="fr-FR"/>
        </w:rPr>
        <w:t>(</w:t>
      </w:r>
      <w:r w:rsidRPr="00A86354">
        <w:rPr>
          <w:rFonts w:cs="Arial"/>
          <w:lang w:val="fr-FR"/>
        </w:rPr>
        <w:t>a</w:t>
      </w:r>
      <w:r w:rsidRPr="00A86354" w:rsidR="0046722D">
        <w:rPr>
          <w:rFonts w:cs="Arial"/>
          <w:lang w:val="fr-FR"/>
        </w:rPr>
        <w:t xml:space="preserve">rticle 31§1 </w:t>
      </w:r>
      <w:r w:rsidRPr="00A86354">
        <w:rPr>
          <w:rFonts w:cs="Arial"/>
          <w:lang w:val="fr-FR"/>
        </w:rPr>
        <w:t>et</w:t>
      </w:r>
      <w:r w:rsidRPr="00A86354" w:rsidR="0046722D">
        <w:rPr>
          <w:rFonts w:cs="Arial"/>
          <w:lang w:val="fr-FR"/>
        </w:rPr>
        <w:t xml:space="preserve"> 3 </w:t>
      </w:r>
      <w:r w:rsidRPr="00A86354">
        <w:rPr>
          <w:rFonts w:cs="Arial"/>
          <w:lang w:val="fr-FR"/>
        </w:rPr>
        <w:t>lu seul et</w:t>
      </w:r>
      <w:r w:rsidRPr="00A86354" w:rsidR="00926689">
        <w:rPr>
          <w:rFonts w:cs="Arial"/>
          <w:lang w:val="fr-FR"/>
        </w:rPr>
        <w:t>/ou</w:t>
      </w:r>
      <w:r w:rsidRPr="00A86354">
        <w:rPr>
          <w:rFonts w:cs="Arial"/>
          <w:lang w:val="fr-FR"/>
        </w:rPr>
        <w:t xml:space="preserve"> en combinaison avec l</w:t>
      </w:r>
      <w:r w:rsidRPr="00A86354" w:rsidR="0006032C">
        <w:rPr>
          <w:rFonts w:cs="Arial"/>
          <w:lang w:val="fr-FR"/>
        </w:rPr>
        <w:t>’</w:t>
      </w:r>
      <w:r w:rsidRPr="00A86354">
        <w:rPr>
          <w:rFonts w:cs="Arial"/>
          <w:lang w:val="fr-FR"/>
        </w:rPr>
        <w:t>article E</w:t>
      </w:r>
      <w:r w:rsidRPr="00A86354" w:rsidR="0046722D">
        <w:rPr>
          <w:rFonts w:cs="Arial"/>
          <w:lang w:val="fr-FR"/>
        </w:rPr>
        <w:t>)</w:t>
      </w:r>
      <w:r w:rsidRPr="00A86354" w:rsidR="000807D5">
        <w:rPr>
          <w:rFonts w:cs="Arial"/>
          <w:lang w:val="fr-FR"/>
        </w:rPr>
        <w:t> ;</w:t>
      </w:r>
    </w:p>
    <w:p w:rsidRPr="00A86354" w:rsidR="0046722D" w:rsidP="00770BA7" w:rsidRDefault="0046722D" w14:paraId="0A11310A" w14:textId="77777777">
      <w:pPr>
        <w:pStyle w:val="ListParagraph"/>
        <w:rPr>
          <w:rFonts w:cs="Arial"/>
          <w:lang w:val="fr-FR"/>
        </w:rPr>
      </w:pPr>
    </w:p>
    <w:p w:rsidRPr="00A86354" w:rsidR="00AD6B5D" w:rsidP="00CE016A" w:rsidRDefault="002C56FD" w14:paraId="3A191A16" w14:textId="764E5B84">
      <w:pPr>
        <w:pStyle w:val="ListParagraph"/>
        <w:numPr>
          <w:ilvl w:val="0"/>
          <w:numId w:val="2"/>
        </w:numPr>
        <w:rPr>
          <w:rFonts w:cs="Arial"/>
          <w:lang w:val="fr-FR"/>
        </w:rPr>
      </w:pPr>
      <w:r w:rsidRPr="00A86354">
        <w:rPr>
          <w:rFonts w:cs="Arial"/>
          <w:lang w:val="fr-FR"/>
        </w:rPr>
        <w:t>la jouissance effective, pleine et entière</w:t>
      </w:r>
      <w:r w:rsidRPr="00A86354">
        <w:rPr>
          <w:rFonts w:ascii="Times New Roman" w:hAnsi="Times New Roman" w:cs="Arial"/>
          <w:lang w:val="fr-FR"/>
        </w:rPr>
        <w:t xml:space="preserve"> </w:t>
      </w:r>
      <w:r w:rsidRPr="00A86354">
        <w:rPr>
          <w:rFonts w:cs="Arial"/>
          <w:lang w:val="fr-FR"/>
        </w:rPr>
        <w:t>des personnes handicapées, à l</w:t>
      </w:r>
      <w:r w:rsidRPr="00A86354" w:rsidR="0006032C">
        <w:rPr>
          <w:rFonts w:cs="Arial"/>
          <w:lang w:val="fr-FR"/>
        </w:rPr>
        <w:t>’</w:t>
      </w:r>
      <w:r w:rsidRPr="00A86354">
        <w:rPr>
          <w:rFonts w:cs="Arial"/>
          <w:lang w:val="fr-FR"/>
        </w:rPr>
        <w:t>égal du reste de la population, du droit à la protection de la santé en raison notamment du manque d</w:t>
      </w:r>
      <w:r w:rsidRPr="00A86354" w:rsidR="0006032C">
        <w:rPr>
          <w:rFonts w:cs="Arial"/>
          <w:lang w:val="fr-FR"/>
        </w:rPr>
        <w:t>’</w:t>
      </w:r>
      <w:r w:rsidRPr="00A86354">
        <w:rPr>
          <w:rFonts w:cs="Arial"/>
          <w:lang w:val="fr-FR"/>
        </w:rPr>
        <w:t xml:space="preserve">accessibilité de ces services </w:t>
      </w:r>
      <w:r w:rsidRPr="00A86354" w:rsidR="00F653B4">
        <w:rPr>
          <w:rFonts w:cs="Arial"/>
          <w:lang w:val="fr-FR"/>
        </w:rPr>
        <w:t>(</w:t>
      </w:r>
      <w:r w:rsidRPr="00A86354">
        <w:rPr>
          <w:rFonts w:cs="Arial"/>
          <w:lang w:val="fr-FR"/>
        </w:rPr>
        <w:t xml:space="preserve">article </w:t>
      </w:r>
      <w:r w:rsidRPr="00A86354" w:rsidR="0046722D">
        <w:rPr>
          <w:rFonts w:cs="Arial"/>
          <w:lang w:val="fr-FR"/>
        </w:rPr>
        <w:t xml:space="preserve">11§1 </w:t>
      </w:r>
      <w:r w:rsidRPr="00A86354" w:rsidR="00F653B4">
        <w:rPr>
          <w:rFonts w:cs="Arial"/>
          <w:lang w:val="fr-FR"/>
        </w:rPr>
        <w:t>de la Charte lu seul et/ou en combinaison avec l</w:t>
      </w:r>
      <w:r w:rsidRPr="00A86354" w:rsidR="0006032C">
        <w:rPr>
          <w:rFonts w:cs="Arial"/>
          <w:lang w:val="fr-FR"/>
        </w:rPr>
        <w:t>’</w:t>
      </w:r>
      <w:r w:rsidRPr="00A86354" w:rsidR="00F653B4">
        <w:rPr>
          <w:rFonts w:cs="Arial"/>
          <w:lang w:val="fr-FR"/>
        </w:rPr>
        <w:t>article E</w:t>
      </w:r>
      <w:r w:rsidRPr="00A86354" w:rsidR="0046722D">
        <w:rPr>
          <w:rFonts w:cs="Arial"/>
          <w:lang w:val="fr-FR"/>
        </w:rPr>
        <w:t>).</w:t>
      </w:r>
    </w:p>
    <w:p w:rsidRPr="00A86354" w:rsidR="004F63AE" w:rsidP="003111B1" w:rsidRDefault="004F63AE" w14:paraId="4E68CDE8" w14:textId="77777777">
      <w:pPr>
        <w:pStyle w:val="ListParagraph"/>
        <w:rPr>
          <w:rFonts w:cs="Arial"/>
          <w:lang w:val="fr-FR"/>
        </w:rPr>
      </w:pPr>
    </w:p>
    <w:p w:rsidRPr="00A86354" w:rsidR="0046722D" w:rsidP="00CE016A" w:rsidRDefault="00E74FF7" w14:paraId="7CE23F2A" w14:textId="642A0ADE">
      <w:pPr>
        <w:pStyle w:val="ListParagraph"/>
        <w:numPr>
          <w:ilvl w:val="0"/>
          <w:numId w:val="1"/>
        </w:numPr>
        <w:ind w:left="0" w:firstLine="0"/>
        <w:rPr>
          <w:rFonts w:cs="Arial"/>
          <w:lang w:val="fr-FR"/>
        </w:rPr>
      </w:pPr>
      <w:r w:rsidRPr="00A86354">
        <w:rPr>
          <w:rFonts w:cs="Arial"/>
          <w:lang w:val="fr-FR"/>
        </w:rPr>
        <w:t>Les organisations réclamantes soutiennent, en outre, qu</w:t>
      </w:r>
      <w:r w:rsidRPr="00A86354" w:rsidR="0006032C">
        <w:rPr>
          <w:rFonts w:cs="Arial"/>
          <w:lang w:val="fr-FR"/>
        </w:rPr>
        <w:t>’</w:t>
      </w:r>
      <w:r w:rsidRPr="00A86354">
        <w:rPr>
          <w:rFonts w:cs="Arial"/>
          <w:lang w:val="fr-FR"/>
        </w:rPr>
        <w:t>en n</w:t>
      </w:r>
      <w:r w:rsidRPr="00A86354" w:rsidR="0006032C">
        <w:rPr>
          <w:rFonts w:cs="Arial"/>
          <w:lang w:val="fr-FR"/>
        </w:rPr>
        <w:t>’</w:t>
      </w:r>
      <w:r w:rsidRPr="00A86354">
        <w:rPr>
          <w:rFonts w:cs="Arial"/>
          <w:lang w:val="fr-FR"/>
        </w:rPr>
        <w:t>assurant pas un accès effectif des personnes handicapées à une vie autonome et incluse dans la société, la France manque à son devoir de protection envers les familles de ces personnes, ce qui place ces familles dans une situation de fragilité et de désavantage (article 16 lu seul et/ou en combinaison avec l</w:t>
      </w:r>
      <w:r w:rsidRPr="00A86354" w:rsidR="0006032C">
        <w:rPr>
          <w:rFonts w:cs="Arial"/>
          <w:lang w:val="fr-FR"/>
        </w:rPr>
        <w:t>’</w:t>
      </w:r>
      <w:r w:rsidRPr="00A86354">
        <w:rPr>
          <w:rFonts w:cs="Arial"/>
          <w:lang w:val="fr-FR"/>
        </w:rPr>
        <w:t>article E).</w:t>
      </w:r>
    </w:p>
    <w:p w:rsidRPr="00A86354" w:rsidR="0046722D" w:rsidP="0046722D" w:rsidRDefault="0046722D" w14:paraId="632D3046" w14:textId="77777777">
      <w:pPr>
        <w:pStyle w:val="ListParagraph"/>
        <w:ind w:left="720"/>
        <w:rPr>
          <w:rFonts w:cs="Arial"/>
          <w:lang w:val="fr-FR"/>
        </w:rPr>
      </w:pPr>
    </w:p>
    <w:p w:rsidRPr="00A86354" w:rsidR="0046722D" w:rsidP="00CE016A" w:rsidRDefault="00E74FF7" w14:paraId="72505843" w14:textId="10338C8B">
      <w:pPr>
        <w:pStyle w:val="ListParagraph"/>
        <w:numPr>
          <w:ilvl w:val="0"/>
          <w:numId w:val="1"/>
        </w:numPr>
        <w:ind w:left="0" w:firstLine="0"/>
        <w:rPr>
          <w:rFonts w:cs="Arial"/>
          <w:lang w:val="fr-FR"/>
        </w:rPr>
      </w:pPr>
      <w:r w:rsidRPr="00A86354">
        <w:rPr>
          <w:rFonts w:cs="Arial"/>
          <w:lang w:val="fr-FR"/>
        </w:rPr>
        <w:t xml:space="preserve">Enfin, selon les organisations réclamantes, </w:t>
      </w:r>
      <w:r w:rsidRPr="00A86354" w:rsidR="00DF52D2">
        <w:rPr>
          <w:rFonts w:cs="Arial"/>
          <w:lang w:val="fr-FR"/>
        </w:rPr>
        <w:t>l</w:t>
      </w:r>
      <w:r w:rsidRPr="00A86354" w:rsidR="0006032C">
        <w:rPr>
          <w:rFonts w:cs="Arial"/>
          <w:lang w:val="fr-FR"/>
        </w:rPr>
        <w:t>’</w:t>
      </w:r>
      <w:r w:rsidRPr="00A86354" w:rsidR="00354EA5">
        <w:rPr>
          <w:rFonts w:cs="Arial"/>
          <w:lang w:val="fr-FR"/>
        </w:rPr>
        <w:t>absence d</w:t>
      </w:r>
      <w:r w:rsidRPr="00A86354" w:rsidR="0006032C">
        <w:rPr>
          <w:rFonts w:cs="Arial"/>
          <w:lang w:val="fr-FR"/>
        </w:rPr>
        <w:t>’</w:t>
      </w:r>
      <w:r w:rsidRPr="00A86354" w:rsidR="00DF52D2">
        <w:rPr>
          <w:rFonts w:cs="Arial"/>
          <w:lang w:val="fr-FR"/>
        </w:rPr>
        <w:t xml:space="preserve">accès suffisant des personnes handicapées </w:t>
      </w:r>
      <w:r w:rsidRPr="00A86354" w:rsidR="00354EA5">
        <w:rPr>
          <w:rFonts w:cs="Arial"/>
          <w:lang w:val="fr-FR"/>
        </w:rPr>
        <w:t>aux</w:t>
      </w:r>
      <w:r w:rsidRPr="00A86354" w:rsidR="00DF52D2">
        <w:rPr>
          <w:rFonts w:cs="Arial"/>
          <w:lang w:val="fr-FR"/>
        </w:rPr>
        <w:t xml:space="preserve"> services de proximité </w:t>
      </w:r>
      <w:r w:rsidRPr="00A86354" w:rsidR="00354EA5">
        <w:rPr>
          <w:rFonts w:cs="Arial"/>
          <w:lang w:val="fr-FR"/>
        </w:rPr>
        <w:t>spécifiques</w:t>
      </w:r>
      <w:r w:rsidRPr="00A86354" w:rsidR="00DF52D2">
        <w:rPr>
          <w:rFonts w:cs="Arial"/>
          <w:lang w:val="fr-FR"/>
        </w:rPr>
        <w:t>, y compris à l</w:t>
      </w:r>
      <w:r w:rsidRPr="00A86354" w:rsidR="0006032C">
        <w:rPr>
          <w:rFonts w:cs="Arial"/>
          <w:lang w:val="fr-FR"/>
        </w:rPr>
        <w:t>’</w:t>
      </w:r>
      <w:r w:rsidRPr="00A86354" w:rsidR="00DF52D2">
        <w:rPr>
          <w:rFonts w:cs="Arial"/>
          <w:lang w:val="fr-FR"/>
        </w:rPr>
        <w:t>aide personnelle et aux services destinés à la population générale,</w:t>
      </w:r>
      <w:r w:rsidRPr="00A86354">
        <w:rPr>
          <w:rFonts w:cs="Arial"/>
          <w:lang w:val="fr-FR"/>
        </w:rPr>
        <w:t xml:space="preserve"> entrave la conciliation entre vie familiale et vie professionnelle des travailleurs qui assurent en tout ou en partie l</w:t>
      </w:r>
      <w:r w:rsidRPr="00A86354" w:rsidR="0006032C">
        <w:rPr>
          <w:rFonts w:cs="Arial"/>
          <w:lang w:val="fr-FR"/>
        </w:rPr>
        <w:t>’</w:t>
      </w:r>
      <w:r w:rsidRPr="00A86354">
        <w:rPr>
          <w:rFonts w:cs="Arial"/>
          <w:lang w:val="fr-FR"/>
        </w:rPr>
        <w:t>accompagnement de leur</w:t>
      </w:r>
      <w:r w:rsidRPr="00A86354" w:rsidR="00DF52D2">
        <w:rPr>
          <w:rFonts w:cs="Arial"/>
          <w:lang w:val="fr-FR"/>
        </w:rPr>
        <w:t>(s)</w:t>
      </w:r>
      <w:r w:rsidRPr="00A86354">
        <w:rPr>
          <w:rFonts w:cs="Arial"/>
          <w:lang w:val="fr-FR"/>
        </w:rPr>
        <w:t xml:space="preserve"> proche</w:t>
      </w:r>
      <w:r w:rsidRPr="00A86354" w:rsidR="00DF52D2">
        <w:rPr>
          <w:rFonts w:cs="Arial"/>
          <w:lang w:val="fr-FR"/>
        </w:rPr>
        <w:t>(s)</w:t>
      </w:r>
      <w:r w:rsidRPr="00A86354">
        <w:rPr>
          <w:rFonts w:cs="Arial"/>
          <w:lang w:val="fr-FR"/>
        </w:rPr>
        <w:t xml:space="preserve"> handicapé</w:t>
      </w:r>
      <w:r w:rsidRPr="00A86354" w:rsidR="00DF52D2">
        <w:rPr>
          <w:rFonts w:cs="Arial"/>
          <w:lang w:val="fr-FR"/>
        </w:rPr>
        <w:t>(s)</w:t>
      </w:r>
      <w:r w:rsidRPr="00A86354">
        <w:rPr>
          <w:rFonts w:cs="Arial"/>
          <w:lang w:val="fr-FR"/>
        </w:rPr>
        <w:t>, par rapport aux autres travailleurs ayant des responsabilités familiales (</w:t>
      </w:r>
      <w:r w:rsidRPr="00A86354" w:rsidR="00DF52D2">
        <w:rPr>
          <w:rFonts w:cs="Arial"/>
          <w:lang w:val="fr-FR"/>
        </w:rPr>
        <w:t>article 27§1 lu seul et/ou en combinaison avec l</w:t>
      </w:r>
      <w:r w:rsidRPr="00A86354" w:rsidR="0006032C">
        <w:rPr>
          <w:rFonts w:cs="Arial"/>
          <w:lang w:val="fr-FR"/>
        </w:rPr>
        <w:t>’</w:t>
      </w:r>
      <w:r w:rsidRPr="00A86354">
        <w:rPr>
          <w:rFonts w:cs="Arial"/>
          <w:lang w:val="fr-FR"/>
        </w:rPr>
        <w:t xml:space="preserve">article E </w:t>
      </w:r>
      <w:r w:rsidRPr="00A86354" w:rsidR="00DF52D2">
        <w:rPr>
          <w:rFonts w:cs="Arial"/>
          <w:lang w:val="fr-FR"/>
        </w:rPr>
        <w:t>de la Charte</w:t>
      </w:r>
      <w:r w:rsidRPr="00A86354">
        <w:rPr>
          <w:rFonts w:cs="Arial"/>
          <w:lang w:val="fr-FR"/>
        </w:rPr>
        <w:t>).</w:t>
      </w:r>
      <w:r w:rsidRPr="00A86354" w:rsidR="00AD6B5D">
        <w:rPr>
          <w:rFonts w:cs="Arial"/>
          <w:lang w:val="fr-FR"/>
        </w:rPr>
        <w:t xml:space="preserve"> </w:t>
      </w:r>
    </w:p>
    <w:bookmarkEnd w:id="4"/>
    <w:p w:rsidRPr="00A86354" w:rsidR="0046722D" w:rsidP="00D97A01" w:rsidRDefault="0046722D" w14:paraId="1D4236A1" w14:textId="77777777">
      <w:pPr>
        <w:pStyle w:val="ListParagraph"/>
        <w:tabs>
          <w:tab w:val="left" w:pos="709"/>
        </w:tabs>
        <w:rPr>
          <w:rFonts w:cs="Arial"/>
          <w:lang w:val="fr-FR"/>
        </w:rPr>
      </w:pPr>
    </w:p>
    <w:p w:rsidRPr="00A86354" w:rsidR="00D97A01" w:rsidP="00CE016A" w:rsidRDefault="00F66E87" w14:paraId="09DF2372" w14:textId="2536D5C1">
      <w:pPr>
        <w:pStyle w:val="ListParagraph"/>
        <w:numPr>
          <w:ilvl w:val="0"/>
          <w:numId w:val="1"/>
        </w:numPr>
        <w:ind w:left="0" w:firstLine="0"/>
        <w:rPr>
          <w:rFonts w:cs="Arial"/>
          <w:lang w:val="fr-FR"/>
        </w:rPr>
      </w:pPr>
      <w:r w:rsidRPr="00A86354">
        <w:rPr>
          <w:rFonts w:cs="Arial"/>
          <w:lang w:val="fr-FR"/>
        </w:rPr>
        <w:lastRenderedPageBreak/>
        <w:t>Le 16 octobre 2018, le Comité a déclaré la réclamation recevable, conformément à l'article 6 du Protocole additionnel à la Charte sociale européenne prévoyant un système de réclamations collectives ("le Protocole").</w:t>
      </w:r>
    </w:p>
    <w:p w:rsidRPr="00A86354" w:rsidR="00AD6B5D" w:rsidP="00AD6B5D" w:rsidRDefault="00AD6B5D" w14:paraId="35222E81" w14:textId="77777777">
      <w:pPr>
        <w:pStyle w:val="ListParagraph"/>
        <w:ind w:left="360"/>
        <w:rPr>
          <w:rFonts w:cs="Arial"/>
          <w:lang w:val="fr-FR"/>
        </w:rPr>
      </w:pPr>
    </w:p>
    <w:p w:rsidRPr="00A86354" w:rsidR="00AD6B5D" w:rsidP="00CE016A" w:rsidRDefault="00F66E87" w14:paraId="2BC9701F" w14:textId="1CF345FC">
      <w:pPr>
        <w:pStyle w:val="ListParagraph"/>
        <w:numPr>
          <w:ilvl w:val="0"/>
          <w:numId w:val="1"/>
        </w:numPr>
        <w:tabs>
          <w:tab w:val="left" w:pos="709"/>
        </w:tabs>
        <w:ind w:left="0" w:firstLine="0"/>
        <w:rPr>
          <w:rFonts w:cs="Arial"/>
          <w:lang w:val="fr-FR"/>
        </w:rPr>
      </w:pPr>
      <w:r w:rsidRPr="00A86354">
        <w:rPr>
          <w:rFonts w:cs="Arial"/>
          <w:lang w:val="fr-FR"/>
        </w:rPr>
        <w:t xml:space="preserve">Dans sa décision sur la recevabilité, </w:t>
      </w:r>
      <w:r w:rsidRPr="00A86354" w:rsidR="00517244">
        <w:rPr>
          <w:rFonts w:cs="Arial"/>
          <w:lang w:val="fr-FR"/>
        </w:rPr>
        <w:t xml:space="preserve">le Comité a </w:t>
      </w:r>
      <w:r w:rsidRPr="00A86354" w:rsidR="001A1477">
        <w:rPr>
          <w:rFonts w:cs="Arial"/>
          <w:lang w:val="fr-FR"/>
        </w:rPr>
        <w:t>invité le</w:t>
      </w:r>
      <w:r w:rsidRPr="00A86354" w:rsidR="00517244">
        <w:rPr>
          <w:rFonts w:cs="Arial"/>
          <w:lang w:val="fr-FR"/>
        </w:rPr>
        <w:t xml:space="preserve"> </w:t>
      </w:r>
      <w:r w:rsidRPr="00A86354" w:rsidR="00AE34AC">
        <w:rPr>
          <w:rFonts w:cs="Arial"/>
          <w:lang w:val="fr-FR"/>
        </w:rPr>
        <w:t>Gouvernement</w:t>
      </w:r>
      <w:r w:rsidRPr="00A86354" w:rsidR="00517244">
        <w:rPr>
          <w:rFonts w:cs="Arial"/>
          <w:lang w:val="fr-FR"/>
        </w:rPr>
        <w:t xml:space="preserve"> </w:t>
      </w:r>
      <w:r w:rsidRPr="00A86354" w:rsidR="001A1477">
        <w:rPr>
          <w:rFonts w:cs="Arial"/>
          <w:lang w:val="fr-FR"/>
        </w:rPr>
        <w:t>à</w:t>
      </w:r>
      <w:r w:rsidRPr="00A86354" w:rsidR="00517244">
        <w:rPr>
          <w:rFonts w:cs="Arial"/>
          <w:lang w:val="fr-FR"/>
        </w:rPr>
        <w:t xml:space="preserve"> soumettre par écrit, avant le </w:t>
      </w:r>
      <w:r w:rsidRPr="00A86354" w:rsidR="00AD6B5D">
        <w:rPr>
          <w:rFonts w:cs="Arial"/>
          <w:lang w:val="fr-FR"/>
        </w:rPr>
        <w:t xml:space="preserve">19 </w:t>
      </w:r>
      <w:r w:rsidRPr="00A86354" w:rsidR="00517244">
        <w:rPr>
          <w:rFonts w:cs="Arial"/>
          <w:lang w:val="fr-FR"/>
        </w:rPr>
        <w:t>décembre</w:t>
      </w:r>
      <w:r w:rsidRPr="00A86354" w:rsidR="00AD6B5D">
        <w:rPr>
          <w:rFonts w:cs="Arial"/>
          <w:lang w:val="fr-FR"/>
        </w:rPr>
        <w:t xml:space="preserve"> 2018</w:t>
      </w:r>
      <w:r w:rsidRPr="00A86354" w:rsidR="00517244">
        <w:rPr>
          <w:rFonts w:cs="Arial"/>
          <w:lang w:val="fr-FR"/>
        </w:rPr>
        <w:t>,</w:t>
      </w:r>
      <w:r w:rsidRPr="00A86354" w:rsidR="00517244">
        <w:rPr>
          <w:rFonts w:eastAsia="Calibri"/>
          <w:lang w:val="fr-FR" w:eastAsia="en-US"/>
        </w:rPr>
        <w:t xml:space="preserve"> </w:t>
      </w:r>
      <w:r w:rsidRPr="00A86354" w:rsidR="00517244">
        <w:rPr>
          <w:rFonts w:cs="Arial"/>
          <w:lang w:val="fr-FR"/>
        </w:rPr>
        <w:t>un mémoire sur le bien-fondé de la réclamation</w:t>
      </w:r>
      <w:r w:rsidRPr="00A86354" w:rsidR="00D97A01">
        <w:rPr>
          <w:rFonts w:cs="Arial"/>
          <w:lang w:val="fr-FR"/>
        </w:rPr>
        <w:t xml:space="preserve"> </w:t>
      </w:r>
      <w:r w:rsidRPr="00A86354" w:rsidR="001A1477">
        <w:rPr>
          <w:rFonts w:cs="Arial"/>
          <w:lang w:val="fr-FR"/>
        </w:rPr>
        <w:t>en</w:t>
      </w:r>
      <w:r w:rsidRPr="00A86354" w:rsidR="00D97A01">
        <w:rPr>
          <w:rFonts w:cs="Arial"/>
          <w:lang w:val="fr-FR"/>
        </w:rPr>
        <w:t xml:space="preserve"> application </w:t>
      </w:r>
      <w:r w:rsidRPr="00A86354" w:rsidR="001A1477">
        <w:rPr>
          <w:rFonts w:cs="Arial"/>
          <w:lang w:val="fr-FR"/>
        </w:rPr>
        <w:t>de l</w:t>
      </w:r>
      <w:r w:rsidRPr="00A86354" w:rsidR="0006032C">
        <w:rPr>
          <w:rFonts w:cs="Arial"/>
          <w:lang w:val="fr-FR"/>
        </w:rPr>
        <w:t>’</w:t>
      </w:r>
      <w:r w:rsidRPr="00A86354" w:rsidR="001A1477">
        <w:rPr>
          <w:rFonts w:cs="Arial"/>
          <w:lang w:val="fr-FR"/>
        </w:rPr>
        <w:t>article</w:t>
      </w:r>
      <w:r w:rsidRPr="00A86354" w:rsidR="00D97A01">
        <w:rPr>
          <w:rFonts w:cs="Arial"/>
          <w:lang w:val="fr-FR"/>
        </w:rPr>
        <w:t xml:space="preserve"> 7§1 </w:t>
      </w:r>
      <w:r w:rsidRPr="00A86354" w:rsidR="001A1477">
        <w:rPr>
          <w:rFonts w:cs="Arial"/>
          <w:lang w:val="fr-FR"/>
        </w:rPr>
        <w:t xml:space="preserve">du </w:t>
      </w:r>
      <w:r w:rsidRPr="00A86354" w:rsidR="00D97A01">
        <w:rPr>
          <w:rFonts w:cs="Arial"/>
          <w:lang w:val="fr-FR"/>
        </w:rPr>
        <w:t>Protocol</w:t>
      </w:r>
      <w:r w:rsidRPr="00A86354" w:rsidR="001A1477">
        <w:rPr>
          <w:rFonts w:cs="Arial"/>
          <w:lang w:val="fr-FR"/>
        </w:rPr>
        <w:t>e et de l</w:t>
      </w:r>
      <w:r w:rsidRPr="00A86354" w:rsidR="0006032C">
        <w:rPr>
          <w:rFonts w:cs="Arial"/>
          <w:lang w:val="fr-FR"/>
        </w:rPr>
        <w:t>’</w:t>
      </w:r>
      <w:r w:rsidRPr="00A86354" w:rsidR="001A1477">
        <w:rPr>
          <w:rFonts w:cs="Arial"/>
          <w:lang w:val="fr-FR"/>
        </w:rPr>
        <w:t>article</w:t>
      </w:r>
      <w:r w:rsidRPr="00A86354" w:rsidR="00D97A01">
        <w:rPr>
          <w:rFonts w:cs="Arial"/>
          <w:lang w:val="fr-FR"/>
        </w:rPr>
        <w:t xml:space="preserve"> 31§1 </w:t>
      </w:r>
      <w:r w:rsidRPr="00A86354" w:rsidR="001A1477">
        <w:rPr>
          <w:rFonts w:cs="Arial"/>
          <w:lang w:val="fr-FR"/>
        </w:rPr>
        <w:t>du Règlement du Comité (</w:t>
      </w:r>
      <w:r w:rsidRPr="00A86354" w:rsidR="000807D5">
        <w:rPr>
          <w:rFonts w:cs="Arial"/>
          <w:lang w:val="fr-FR"/>
        </w:rPr>
        <w:t>« </w:t>
      </w:r>
      <w:r w:rsidRPr="00A86354" w:rsidR="001A1477">
        <w:rPr>
          <w:rFonts w:cs="Arial"/>
          <w:lang w:val="fr-FR"/>
        </w:rPr>
        <w:t>le Règlement</w:t>
      </w:r>
      <w:r w:rsidRPr="00A86354" w:rsidR="000807D5">
        <w:rPr>
          <w:rFonts w:cs="Arial"/>
          <w:lang w:val="fr-FR"/>
        </w:rPr>
        <w:t> »</w:t>
      </w:r>
      <w:r w:rsidRPr="00A86354" w:rsidR="001A1477">
        <w:rPr>
          <w:rFonts w:cs="Arial"/>
          <w:lang w:val="fr-FR"/>
        </w:rPr>
        <w:t>)</w:t>
      </w:r>
      <w:r w:rsidRPr="00A86354" w:rsidR="00D97A01">
        <w:rPr>
          <w:rFonts w:cs="Arial"/>
          <w:lang w:val="fr-FR"/>
        </w:rPr>
        <w:t>.</w:t>
      </w:r>
    </w:p>
    <w:p w:rsidRPr="00A86354" w:rsidR="00AD6B5D" w:rsidP="00AD6B5D" w:rsidRDefault="00AD6B5D" w14:paraId="69DF0D88" w14:textId="77777777">
      <w:pPr>
        <w:pStyle w:val="ListParagraph"/>
        <w:ind w:left="360"/>
        <w:rPr>
          <w:rFonts w:cs="Arial"/>
          <w:lang w:val="fr-FR"/>
        </w:rPr>
      </w:pPr>
    </w:p>
    <w:p w:rsidRPr="00A86354" w:rsidR="00D97A01" w:rsidP="00CE016A" w:rsidRDefault="001A1477" w14:paraId="7DC660BF" w14:textId="569F14E8">
      <w:pPr>
        <w:pStyle w:val="ListParagraph"/>
        <w:numPr>
          <w:ilvl w:val="0"/>
          <w:numId w:val="1"/>
        </w:numPr>
        <w:tabs>
          <w:tab w:val="left" w:pos="709"/>
        </w:tabs>
        <w:ind w:left="0" w:firstLine="0"/>
        <w:rPr>
          <w:rFonts w:cs="Arial"/>
          <w:lang w:val="fr-FR"/>
        </w:rPr>
      </w:pPr>
      <w:r w:rsidRPr="00A86354">
        <w:rPr>
          <w:rFonts w:cs="Arial"/>
          <w:lang w:val="fr-FR"/>
        </w:rPr>
        <w:t>En application de l</w:t>
      </w:r>
      <w:r w:rsidRPr="00A86354" w:rsidR="0006032C">
        <w:rPr>
          <w:rFonts w:cs="Arial"/>
          <w:lang w:val="fr-FR"/>
        </w:rPr>
        <w:t>’</w:t>
      </w:r>
      <w:r w:rsidRPr="00A86354">
        <w:rPr>
          <w:rFonts w:cs="Arial"/>
          <w:lang w:val="fr-FR"/>
        </w:rPr>
        <w:t>article 7§§1 et 2 du Protocole et de l</w:t>
      </w:r>
      <w:r w:rsidRPr="00A86354" w:rsidR="0006032C">
        <w:rPr>
          <w:rFonts w:cs="Arial"/>
          <w:lang w:val="fr-FR"/>
        </w:rPr>
        <w:t>’</w:t>
      </w:r>
      <w:r w:rsidRPr="00A86354">
        <w:rPr>
          <w:rFonts w:cs="Arial"/>
          <w:lang w:val="fr-FR"/>
        </w:rPr>
        <w:t>article 32§§1 et 2 de son Règlement, le Comité a invité les États parties au Protocole et les États ayant fait une déclaration au titre de l</w:t>
      </w:r>
      <w:r w:rsidRPr="00A86354" w:rsidR="0006032C">
        <w:rPr>
          <w:rFonts w:cs="Arial"/>
          <w:lang w:val="fr-FR"/>
        </w:rPr>
        <w:t>’</w:t>
      </w:r>
      <w:r w:rsidRPr="00A86354">
        <w:rPr>
          <w:rFonts w:cs="Arial"/>
          <w:lang w:val="fr-FR"/>
        </w:rPr>
        <w:t>article D§2 de la Charte, ainsi que les organisations internationales d</w:t>
      </w:r>
      <w:r w:rsidRPr="00A86354" w:rsidR="0006032C">
        <w:rPr>
          <w:rFonts w:cs="Arial"/>
          <w:lang w:val="fr-FR"/>
        </w:rPr>
        <w:t>’</w:t>
      </w:r>
      <w:r w:rsidRPr="00A86354">
        <w:rPr>
          <w:rFonts w:cs="Arial"/>
          <w:lang w:val="fr-FR"/>
        </w:rPr>
        <w:t>employeurs ou de travailleurs visées à l</w:t>
      </w:r>
      <w:r w:rsidRPr="00A86354" w:rsidR="0006032C">
        <w:rPr>
          <w:rFonts w:cs="Arial"/>
          <w:lang w:val="fr-FR"/>
        </w:rPr>
        <w:t>’</w:t>
      </w:r>
      <w:r w:rsidRPr="00A86354">
        <w:rPr>
          <w:rFonts w:cs="Arial"/>
          <w:lang w:val="fr-FR"/>
        </w:rPr>
        <w:t xml:space="preserve">article 27§2 de la Charte de 1961, à lui transmettre leurs éventuelles observations sur le bien-fondé de la réclamation avant le </w:t>
      </w:r>
      <w:r w:rsidRPr="00A86354" w:rsidR="00AD6B5D">
        <w:rPr>
          <w:rFonts w:cs="Arial"/>
          <w:lang w:val="fr-FR"/>
        </w:rPr>
        <w:t xml:space="preserve">19 </w:t>
      </w:r>
      <w:r w:rsidRPr="00A86354">
        <w:rPr>
          <w:rFonts w:cs="Arial"/>
          <w:lang w:val="fr-FR"/>
        </w:rPr>
        <w:t>décembre</w:t>
      </w:r>
      <w:r w:rsidRPr="00A86354" w:rsidR="00AD6B5D">
        <w:rPr>
          <w:rFonts w:cs="Arial"/>
          <w:lang w:val="fr-FR"/>
        </w:rPr>
        <w:t xml:space="preserve"> 2018</w:t>
      </w:r>
      <w:r w:rsidRPr="00A86354" w:rsidR="00D97A01">
        <w:rPr>
          <w:rFonts w:cs="Arial"/>
          <w:lang w:val="fr-FR"/>
        </w:rPr>
        <w:t>.</w:t>
      </w:r>
    </w:p>
    <w:p w:rsidRPr="00A86354" w:rsidR="002F42A4" w:rsidP="002F42A4" w:rsidRDefault="002F42A4" w14:paraId="7A74FCC7" w14:textId="77777777">
      <w:pPr>
        <w:pStyle w:val="ListParagraph"/>
        <w:ind w:left="360"/>
        <w:rPr>
          <w:rFonts w:cs="Arial"/>
          <w:lang w:val="fr-FR"/>
        </w:rPr>
      </w:pPr>
    </w:p>
    <w:p w:rsidRPr="00A86354" w:rsidR="002F42A4" w:rsidP="00CE016A" w:rsidRDefault="001A1477" w14:paraId="1D199BA6" w14:textId="67E297D7">
      <w:pPr>
        <w:pStyle w:val="ListParagraph"/>
        <w:numPr>
          <w:ilvl w:val="0"/>
          <w:numId w:val="1"/>
        </w:numPr>
        <w:tabs>
          <w:tab w:val="left" w:pos="709"/>
        </w:tabs>
        <w:ind w:left="0" w:firstLine="0"/>
        <w:rPr>
          <w:rFonts w:cs="Arial"/>
          <w:lang w:val="fr-FR"/>
        </w:rPr>
      </w:pPr>
      <w:r w:rsidRPr="00A86354">
        <w:rPr>
          <w:rFonts w:cs="Arial"/>
          <w:lang w:val="fr-FR"/>
        </w:rPr>
        <w:t>Conformément à l</w:t>
      </w:r>
      <w:r w:rsidRPr="00A86354" w:rsidR="0006032C">
        <w:rPr>
          <w:rFonts w:cs="Arial"/>
          <w:lang w:val="fr-FR"/>
        </w:rPr>
        <w:t>’</w:t>
      </w:r>
      <w:r w:rsidRPr="00A86354">
        <w:rPr>
          <w:rFonts w:cs="Arial"/>
          <w:lang w:val="fr-FR"/>
        </w:rPr>
        <w:t xml:space="preserve">article </w:t>
      </w:r>
      <w:r w:rsidRPr="00A86354" w:rsidR="002F42A4">
        <w:rPr>
          <w:rFonts w:cs="Arial"/>
          <w:lang w:val="fr-FR"/>
        </w:rPr>
        <w:t xml:space="preserve">7§1 </w:t>
      </w:r>
      <w:r w:rsidRPr="00A86354">
        <w:rPr>
          <w:rFonts w:cs="Arial"/>
          <w:lang w:val="fr-FR"/>
        </w:rPr>
        <w:t>du Protocole et en</w:t>
      </w:r>
      <w:r w:rsidRPr="00A86354" w:rsidR="002F42A4">
        <w:rPr>
          <w:rFonts w:cs="Arial"/>
          <w:lang w:val="fr-FR"/>
        </w:rPr>
        <w:t xml:space="preserve"> application </w:t>
      </w:r>
      <w:r w:rsidRPr="00A86354">
        <w:rPr>
          <w:rFonts w:cs="Arial"/>
          <w:lang w:val="fr-FR"/>
        </w:rPr>
        <w:t>de l</w:t>
      </w:r>
      <w:r w:rsidRPr="00A86354" w:rsidR="0006032C">
        <w:rPr>
          <w:rFonts w:cs="Arial"/>
          <w:lang w:val="fr-FR"/>
        </w:rPr>
        <w:t>’</w:t>
      </w:r>
      <w:r w:rsidRPr="00A86354">
        <w:rPr>
          <w:rFonts w:cs="Arial"/>
          <w:lang w:val="fr-FR"/>
        </w:rPr>
        <w:t xml:space="preserve">article </w:t>
      </w:r>
      <w:r w:rsidRPr="00A86354" w:rsidR="002F42A4">
        <w:rPr>
          <w:rFonts w:cs="Arial"/>
          <w:lang w:val="fr-FR"/>
        </w:rPr>
        <w:t xml:space="preserve">28§2 </w:t>
      </w:r>
      <w:r w:rsidRPr="00A86354">
        <w:rPr>
          <w:rFonts w:cs="Arial"/>
          <w:lang w:val="fr-FR"/>
        </w:rPr>
        <w:t>du Règlement</w:t>
      </w:r>
      <w:r w:rsidRPr="00A86354" w:rsidR="002F42A4">
        <w:rPr>
          <w:rFonts w:cs="Arial"/>
          <w:lang w:val="fr-FR"/>
        </w:rPr>
        <w:t xml:space="preserve">, </w:t>
      </w:r>
      <w:r w:rsidRPr="00A86354">
        <w:rPr>
          <w:rFonts w:cs="Arial"/>
          <w:lang w:val="fr-FR"/>
        </w:rPr>
        <w:t>l</w:t>
      </w:r>
      <w:r w:rsidRPr="00A86354" w:rsidR="009E4749">
        <w:rPr>
          <w:rFonts w:cs="Arial"/>
          <w:lang w:val="fr-FR"/>
        </w:rPr>
        <w:t>e</w:t>
      </w:r>
      <w:r w:rsidRPr="00A86354">
        <w:rPr>
          <w:rFonts w:cs="Arial"/>
          <w:lang w:val="fr-FR"/>
        </w:rPr>
        <w:t xml:space="preserve"> </w:t>
      </w:r>
      <w:r w:rsidRPr="00A86354" w:rsidR="009E4749">
        <w:rPr>
          <w:rFonts w:cs="Arial"/>
          <w:lang w:val="fr-FR"/>
        </w:rPr>
        <w:t>P</w:t>
      </w:r>
      <w:r w:rsidRPr="00A86354">
        <w:rPr>
          <w:rFonts w:cs="Arial"/>
          <w:lang w:val="fr-FR"/>
        </w:rPr>
        <w:t xml:space="preserve">résident du Comité a décidé, à la demande du </w:t>
      </w:r>
      <w:r w:rsidRPr="00A86354" w:rsidR="00AE34AC">
        <w:rPr>
          <w:rFonts w:cs="Arial"/>
          <w:lang w:val="fr-FR"/>
        </w:rPr>
        <w:t>Gouvernement</w:t>
      </w:r>
      <w:r w:rsidRPr="00A86354">
        <w:rPr>
          <w:rFonts w:cs="Arial"/>
          <w:lang w:val="fr-FR"/>
        </w:rPr>
        <w:t xml:space="preserve"> défendeur, de proroger au 15 janvier 2019 la date limite de présentation du mémoire du </w:t>
      </w:r>
      <w:r w:rsidRPr="00A86354" w:rsidR="00AE34AC">
        <w:rPr>
          <w:rFonts w:cs="Arial"/>
          <w:lang w:val="fr-FR"/>
        </w:rPr>
        <w:t>Gouvernement</w:t>
      </w:r>
      <w:r w:rsidRPr="00A86354">
        <w:rPr>
          <w:rFonts w:cs="Arial"/>
          <w:lang w:val="fr-FR"/>
        </w:rPr>
        <w:t xml:space="preserve"> sur le bien-fondé de la réclamation.</w:t>
      </w:r>
      <w:r w:rsidRPr="00A86354" w:rsidR="00394390">
        <w:rPr>
          <w:rFonts w:cs="Arial"/>
          <w:lang w:val="fr-FR"/>
        </w:rPr>
        <w:t xml:space="preserve"> </w:t>
      </w:r>
      <w:r w:rsidRPr="00A86354" w:rsidR="0075207F">
        <w:rPr>
          <w:rFonts w:cs="Arial"/>
          <w:lang w:val="fr-FR"/>
        </w:rPr>
        <w:t xml:space="preserve">Le mémoire du </w:t>
      </w:r>
      <w:r w:rsidRPr="00A86354" w:rsidR="00AE34AC">
        <w:rPr>
          <w:rFonts w:cs="Arial"/>
          <w:lang w:val="fr-FR"/>
        </w:rPr>
        <w:t>Gouvernement</w:t>
      </w:r>
      <w:r w:rsidRPr="00A86354" w:rsidR="0075207F">
        <w:rPr>
          <w:rFonts w:cs="Arial"/>
          <w:lang w:val="fr-FR"/>
        </w:rPr>
        <w:t xml:space="preserve"> sur le bien-fondé de la réclamation a été enregistré </w:t>
      </w:r>
      <w:r w:rsidRPr="00A86354" w:rsidR="003F0C2E">
        <w:rPr>
          <w:rFonts w:cs="Arial"/>
          <w:lang w:val="fr-FR"/>
        </w:rPr>
        <w:t>au</w:t>
      </w:r>
      <w:r w:rsidRPr="00A86354" w:rsidR="0075207F">
        <w:rPr>
          <w:rFonts w:cs="Arial"/>
          <w:lang w:val="fr-FR"/>
        </w:rPr>
        <w:t xml:space="preserve"> secré</w:t>
      </w:r>
      <w:r w:rsidRPr="00A86354" w:rsidR="00D718C6">
        <w:rPr>
          <w:rFonts w:cs="Arial"/>
          <w:lang w:val="fr-FR"/>
        </w:rPr>
        <w:t>tariat</w:t>
      </w:r>
      <w:r w:rsidRPr="00A86354" w:rsidR="00394390">
        <w:rPr>
          <w:rFonts w:cs="Arial"/>
          <w:lang w:val="fr-FR"/>
        </w:rPr>
        <w:t xml:space="preserve"> </w:t>
      </w:r>
      <w:r w:rsidRPr="00A86354" w:rsidR="0075207F">
        <w:rPr>
          <w:rFonts w:cs="Arial"/>
          <w:lang w:val="fr-FR"/>
        </w:rPr>
        <w:t>le</w:t>
      </w:r>
      <w:r w:rsidRPr="00A86354" w:rsidR="00394390">
        <w:rPr>
          <w:rFonts w:cs="Arial"/>
          <w:lang w:val="fr-FR"/>
        </w:rPr>
        <w:t xml:space="preserve"> 15 </w:t>
      </w:r>
      <w:r w:rsidRPr="00A86354" w:rsidR="0075207F">
        <w:rPr>
          <w:rFonts w:cs="Arial"/>
          <w:lang w:val="fr-FR"/>
        </w:rPr>
        <w:t>janvier</w:t>
      </w:r>
      <w:r w:rsidRPr="00A86354" w:rsidR="00394390">
        <w:rPr>
          <w:rFonts w:cs="Arial"/>
          <w:lang w:val="fr-FR"/>
        </w:rPr>
        <w:t xml:space="preserve"> 2019. </w:t>
      </w:r>
      <w:r w:rsidRPr="00A86354" w:rsidR="002F42A4">
        <w:rPr>
          <w:rFonts w:cs="Arial"/>
          <w:lang w:val="fr-FR"/>
        </w:rPr>
        <w:t xml:space="preserve">    </w:t>
      </w:r>
    </w:p>
    <w:p w:rsidRPr="00A86354" w:rsidR="00A57122" w:rsidP="00A57122" w:rsidRDefault="00A57122" w14:paraId="10C161D9" w14:textId="77777777">
      <w:pPr>
        <w:pStyle w:val="ListParagraph"/>
        <w:ind w:left="360"/>
        <w:rPr>
          <w:rFonts w:cs="Arial"/>
          <w:lang w:val="fr-FR"/>
        </w:rPr>
      </w:pPr>
    </w:p>
    <w:p w:rsidRPr="00A86354" w:rsidR="00A57122" w:rsidP="00CE016A" w:rsidRDefault="0075207F" w14:paraId="07B6F428" w14:textId="7AE7F243">
      <w:pPr>
        <w:pStyle w:val="ListParagraph"/>
        <w:numPr>
          <w:ilvl w:val="0"/>
          <w:numId w:val="1"/>
        </w:numPr>
        <w:ind w:left="0" w:firstLine="0"/>
        <w:rPr>
          <w:rFonts w:cs="Arial"/>
          <w:lang w:val="fr-FR"/>
        </w:rPr>
      </w:pPr>
      <w:r w:rsidRPr="00A86354">
        <w:rPr>
          <w:rFonts w:cs="Arial"/>
          <w:lang w:val="fr-FR"/>
        </w:rPr>
        <w:t>Le</w:t>
      </w:r>
      <w:r w:rsidRPr="00A86354" w:rsidR="00A57122">
        <w:rPr>
          <w:rFonts w:cs="Arial"/>
          <w:lang w:val="fr-FR"/>
        </w:rPr>
        <w:t xml:space="preserve"> 22 </w:t>
      </w:r>
      <w:r w:rsidRPr="00A86354">
        <w:rPr>
          <w:rFonts w:cs="Arial"/>
          <w:lang w:val="fr-FR"/>
        </w:rPr>
        <w:t xml:space="preserve">janvier </w:t>
      </w:r>
      <w:r w:rsidRPr="00A86354" w:rsidR="00A57122">
        <w:rPr>
          <w:rFonts w:cs="Arial"/>
          <w:lang w:val="fr-FR"/>
        </w:rPr>
        <w:t xml:space="preserve">2019, </w:t>
      </w:r>
      <w:r w:rsidRPr="00A86354">
        <w:rPr>
          <w:rFonts w:cs="Arial"/>
          <w:lang w:val="fr-FR"/>
        </w:rPr>
        <w:t>conformément à l</w:t>
      </w:r>
      <w:r w:rsidRPr="00A86354" w:rsidR="0006032C">
        <w:rPr>
          <w:rFonts w:cs="Arial"/>
          <w:lang w:val="fr-FR"/>
        </w:rPr>
        <w:t>’</w:t>
      </w:r>
      <w:r w:rsidRPr="00A86354">
        <w:rPr>
          <w:rFonts w:cs="Arial"/>
          <w:lang w:val="fr-FR"/>
        </w:rPr>
        <w:t>article 31§2 du Règlement, l</w:t>
      </w:r>
      <w:r w:rsidRPr="00A86354" w:rsidR="00451AB5">
        <w:rPr>
          <w:rFonts w:cs="Arial"/>
          <w:lang w:val="fr-FR"/>
        </w:rPr>
        <w:t>e</w:t>
      </w:r>
      <w:r w:rsidRPr="00A86354">
        <w:rPr>
          <w:rFonts w:cs="Arial"/>
          <w:lang w:val="fr-FR"/>
        </w:rPr>
        <w:t xml:space="preserve"> </w:t>
      </w:r>
      <w:r w:rsidRPr="00A86354" w:rsidR="009E4749">
        <w:rPr>
          <w:rFonts w:cs="Arial"/>
          <w:lang w:val="fr-FR"/>
        </w:rPr>
        <w:t>P</w:t>
      </w:r>
      <w:r w:rsidRPr="00A86354">
        <w:rPr>
          <w:rFonts w:cs="Arial"/>
          <w:lang w:val="fr-FR"/>
        </w:rPr>
        <w:t xml:space="preserve">résident du Comité a invité EDF et Inclusion Europe à soumettre une réplique à ce mémoire avant le </w:t>
      </w:r>
      <w:r w:rsidRPr="00A86354" w:rsidR="00A57122">
        <w:rPr>
          <w:rFonts w:cs="Arial"/>
          <w:lang w:val="fr-FR"/>
        </w:rPr>
        <w:t xml:space="preserve">20 </w:t>
      </w:r>
      <w:r w:rsidRPr="00A86354">
        <w:rPr>
          <w:rFonts w:cs="Arial"/>
          <w:lang w:val="fr-FR"/>
        </w:rPr>
        <w:t>mars</w:t>
      </w:r>
      <w:r w:rsidRPr="00A86354" w:rsidR="00A57122">
        <w:rPr>
          <w:rFonts w:cs="Arial"/>
          <w:lang w:val="fr-FR"/>
        </w:rPr>
        <w:t xml:space="preserve"> 2019. </w:t>
      </w:r>
      <w:r w:rsidRPr="00A86354">
        <w:rPr>
          <w:rFonts w:cs="Arial"/>
          <w:lang w:val="fr-FR"/>
        </w:rPr>
        <w:t>La réplique d</w:t>
      </w:r>
      <w:r w:rsidRPr="00A86354" w:rsidR="0006032C">
        <w:rPr>
          <w:rFonts w:cs="Arial"/>
          <w:lang w:val="fr-FR"/>
        </w:rPr>
        <w:t>’</w:t>
      </w:r>
      <w:r w:rsidRPr="00A86354" w:rsidR="00A57122">
        <w:rPr>
          <w:rFonts w:cs="Arial"/>
          <w:lang w:val="fr-FR"/>
        </w:rPr>
        <w:t xml:space="preserve">EDF </w:t>
      </w:r>
      <w:r w:rsidRPr="00A86354">
        <w:rPr>
          <w:rFonts w:cs="Arial"/>
          <w:lang w:val="fr-FR"/>
        </w:rPr>
        <w:t>et</w:t>
      </w:r>
      <w:r w:rsidRPr="00A86354" w:rsidR="00A57122">
        <w:rPr>
          <w:rFonts w:cs="Arial"/>
          <w:lang w:val="fr-FR"/>
        </w:rPr>
        <w:t xml:space="preserve"> Inclusion Europe </w:t>
      </w:r>
      <w:r w:rsidRPr="00A86354">
        <w:rPr>
          <w:rFonts w:cs="Arial"/>
          <w:lang w:val="fr-FR"/>
        </w:rPr>
        <w:t>a été enregistrée le</w:t>
      </w:r>
      <w:r w:rsidRPr="00A86354" w:rsidR="00A57122">
        <w:rPr>
          <w:rFonts w:cs="Arial"/>
          <w:lang w:val="fr-FR"/>
        </w:rPr>
        <w:t xml:space="preserve"> 20</w:t>
      </w:r>
      <w:r w:rsidRPr="00A86354" w:rsidR="005C7942">
        <w:rPr>
          <w:rFonts w:cs="Arial"/>
          <w:lang w:val="fr-FR"/>
        </w:rPr>
        <w:t> </w:t>
      </w:r>
      <w:r w:rsidRPr="00A86354">
        <w:rPr>
          <w:rFonts w:cs="Arial"/>
          <w:lang w:val="fr-FR"/>
        </w:rPr>
        <w:t xml:space="preserve">mars </w:t>
      </w:r>
      <w:r w:rsidRPr="00A86354" w:rsidR="00A57122">
        <w:rPr>
          <w:rFonts w:cs="Arial"/>
          <w:lang w:val="fr-FR"/>
        </w:rPr>
        <w:t xml:space="preserve">2019. </w:t>
      </w:r>
    </w:p>
    <w:p w:rsidRPr="00A86354" w:rsidR="00304F19" w:rsidP="00304F19" w:rsidRDefault="00304F19" w14:paraId="4C4A5818" w14:textId="77777777">
      <w:pPr>
        <w:pStyle w:val="ListParagraph"/>
        <w:ind w:left="360"/>
        <w:rPr>
          <w:rFonts w:cs="Arial"/>
          <w:lang w:val="fr-FR"/>
        </w:rPr>
      </w:pPr>
    </w:p>
    <w:p w:rsidRPr="00A86354" w:rsidR="00304F19" w:rsidP="00CE016A" w:rsidRDefault="0075207F" w14:paraId="415BFC40" w14:textId="2F45E868">
      <w:pPr>
        <w:pStyle w:val="ListParagraph"/>
        <w:numPr>
          <w:ilvl w:val="0"/>
          <w:numId w:val="1"/>
        </w:numPr>
        <w:ind w:left="0" w:firstLine="0"/>
        <w:rPr>
          <w:rFonts w:cs="Arial"/>
          <w:lang w:val="fr-FR"/>
        </w:rPr>
      </w:pPr>
      <w:r w:rsidRPr="00A86354">
        <w:rPr>
          <w:rFonts w:cs="Arial"/>
          <w:lang w:val="fr-FR"/>
        </w:rPr>
        <w:t>Conformément à l</w:t>
      </w:r>
      <w:r w:rsidRPr="00A86354" w:rsidR="0006032C">
        <w:rPr>
          <w:rFonts w:cs="Arial"/>
          <w:lang w:val="fr-FR"/>
        </w:rPr>
        <w:t>’</w:t>
      </w:r>
      <w:r w:rsidRPr="00A86354">
        <w:rPr>
          <w:rFonts w:cs="Arial"/>
          <w:lang w:val="fr-FR"/>
        </w:rPr>
        <w:t>article 31§3 du Règlement,</w:t>
      </w:r>
      <w:r w:rsidRPr="00A86354" w:rsidR="009F0B37">
        <w:rPr>
          <w:rFonts w:cs="Arial"/>
          <w:lang w:val="fr-FR"/>
        </w:rPr>
        <w:t xml:space="preserve"> </w:t>
      </w:r>
      <w:r w:rsidRPr="00A86354">
        <w:rPr>
          <w:rFonts w:cs="Arial"/>
          <w:lang w:val="fr-FR"/>
        </w:rPr>
        <w:t>l</w:t>
      </w:r>
      <w:r w:rsidRPr="00A86354" w:rsidR="00451AB5">
        <w:rPr>
          <w:rFonts w:cs="Arial"/>
          <w:lang w:val="fr-FR"/>
        </w:rPr>
        <w:t>e</w:t>
      </w:r>
      <w:r w:rsidRPr="00A86354">
        <w:rPr>
          <w:rFonts w:cs="Arial"/>
          <w:lang w:val="fr-FR"/>
        </w:rPr>
        <w:t xml:space="preserve"> </w:t>
      </w:r>
      <w:r w:rsidRPr="00A86354" w:rsidR="009E4749">
        <w:rPr>
          <w:rFonts w:cs="Arial"/>
          <w:lang w:val="fr-FR"/>
        </w:rPr>
        <w:t>P</w:t>
      </w:r>
      <w:r w:rsidRPr="00A86354">
        <w:rPr>
          <w:rFonts w:cs="Arial"/>
          <w:lang w:val="fr-FR"/>
        </w:rPr>
        <w:t xml:space="preserve">résident du Comité a invité le </w:t>
      </w:r>
      <w:r w:rsidRPr="00A86354" w:rsidR="00AE34AC">
        <w:rPr>
          <w:rFonts w:cs="Arial"/>
          <w:lang w:val="fr-FR"/>
        </w:rPr>
        <w:t>Gouvernement</w:t>
      </w:r>
      <w:r w:rsidRPr="00A86354" w:rsidR="009F0B37">
        <w:rPr>
          <w:rFonts w:cs="Arial"/>
          <w:lang w:val="fr-FR"/>
        </w:rPr>
        <w:t xml:space="preserve"> </w:t>
      </w:r>
      <w:r w:rsidRPr="00A86354">
        <w:rPr>
          <w:rFonts w:cs="Arial"/>
          <w:lang w:val="fr-FR"/>
        </w:rPr>
        <w:t xml:space="preserve">à soumettre une nouvelle réplique avant le </w:t>
      </w:r>
      <w:r w:rsidRPr="00A86354" w:rsidR="009F0B37">
        <w:rPr>
          <w:rFonts w:cs="Arial"/>
          <w:lang w:val="fr-FR"/>
        </w:rPr>
        <w:t xml:space="preserve">10 </w:t>
      </w:r>
      <w:r w:rsidRPr="00A86354">
        <w:rPr>
          <w:rFonts w:cs="Arial"/>
          <w:lang w:val="fr-FR"/>
        </w:rPr>
        <w:t>mai</w:t>
      </w:r>
      <w:r w:rsidRPr="00A86354" w:rsidR="009F0B37">
        <w:rPr>
          <w:rFonts w:cs="Arial"/>
          <w:lang w:val="fr-FR"/>
        </w:rPr>
        <w:t xml:space="preserve"> 2019.</w:t>
      </w:r>
    </w:p>
    <w:p w:rsidRPr="00A86354" w:rsidR="00304F19" w:rsidP="00304F19" w:rsidRDefault="00304F19" w14:paraId="495A6E17" w14:textId="77777777">
      <w:pPr>
        <w:pStyle w:val="ListParagraph"/>
        <w:ind w:left="360"/>
        <w:rPr>
          <w:rFonts w:cs="Arial"/>
          <w:lang w:val="fr-FR"/>
        </w:rPr>
      </w:pPr>
    </w:p>
    <w:p w:rsidRPr="00A86354" w:rsidR="00304F19" w:rsidP="00CE016A" w:rsidRDefault="005C7942" w14:paraId="4CAA8160" w14:textId="27F19F32">
      <w:pPr>
        <w:pStyle w:val="ListParagraph"/>
        <w:numPr>
          <w:ilvl w:val="0"/>
          <w:numId w:val="1"/>
        </w:numPr>
        <w:ind w:left="0" w:firstLine="0"/>
        <w:rPr>
          <w:rFonts w:cs="Arial"/>
          <w:lang w:val="fr-FR"/>
        </w:rPr>
      </w:pPr>
      <w:r w:rsidRPr="00A86354">
        <w:rPr>
          <w:rFonts w:cs="Arial"/>
          <w:lang w:val="fr-FR"/>
        </w:rPr>
        <w:t>En réponse à la lettre du</w:t>
      </w:r>
      <w:r w:rsidRPr="00A86354" w:rsidR="00143676">
        <w:rPr>
          <w:rFonts w:cs="Arial"/>
          <w:lang w:val="fr-FR"/>
        </w:rPr>
        <w:t xml:space="preserve"> 5 </w:t>
      </w:r>
      <w:r w:rsidRPr="00A86354">
        <w:rPr>
          <w:rFonts w:cs="Arial"/>
          <w:lang w:val="fr-FR"/>
        </w:rPr>
        <w:t>mars</w:t>
      </w:r>
      <w:r w:rsidRPr="00A86354" w:rsidR="00143676">
        <w:rPr>
          <w:rFonts w:cs="Arial"/>
          <w:lang w:val="fr-FR"/>
        </w:rPr>
        <w:t xml:space="preserve"> 2020 </w:t>
      </w:r>
      <w:r w:rsidRPr="00A86354">
        <w:rPr>
          <w:rFonts w:cs="Arial"/>
          <w:lang w:val="fr-FR"/>
        </w:rPr>
        <w:t>de la présidence de la Commission nationale consultative des droits de l</w:t>
      </w:r>
      <w:r w:rsidRPr="00A86354" w:rsidR="0006032C">
        <w:rPr>
          <w:rFonts w:cs="Arial"/>
          <w:lang w:val="fr-FR"/>
        </w:rPr>
        <w:t>’</w:t>
      </w:r>
      <w:r w:rsidRPr="00A86354">
        <w:rPr>
          <w:rFonts w:cs="Arial"/>
          <w:lang w:val="fr-FR"/>
        </w:rPr>
        <w:t>homme (</w:t>
      </w:r>
      <w:r w:rsidRPr="00A86354" w:rsidR="00A64919">
        <w:rPr>
          <w:rFonts w:cs="Arial"/>
          <w:lang w:val="fr-FR"/>
        </w:rPr>
        <w:t>ci-après « </w:t>
      </w:r>
      <w:r w:rsidRPr="00A86354">
        <w:rPr>
          <w:rFonts w:cs="Arial"/>
          <w:lang w:val="fr-FR"/>
        </w:rPr>
        <w:t>CNCDH</w:t>
      </w:r>
      <w:r w:rsidRPr="00A86354" w:rsidR="00A64919">
        <w:rPr>
          <w:rFonts w:cs="Arial"/>
          <w:lang w:val="fr-FR"/>
        </w:rPr>
        <w:t> »</w:t>
      </w:r>
      <w:r w:rsidRPr="00A86354">
        <w:rPr>
          <w:rFonts w:cs="Arial"/>
          <w:lang w:val="fr-FR"/>
        </w:rPr>
        <w:t>)</w:t>
      </w:r>
      <w:r w:rsidRPr="00A86354" w:rsidR="00143676">
        <w:rPr>
          <w:rFonts w:cs="Arial"/>
          <w:lang w:val="fr-FR"/>
        </w:rPr>
        <w:t xml:space="preserve"> </w:t>
      </w:r>
      <w:r w:rsidRPr="00A86354">
        <w:rPr>
          <w:rFonts w:cs="Arial"/>
          <w:lang w:val="fr-FR"/>
        </w:rPr>
        <w:t>demandant l</w:t>
      </w:r>
      <w:r w:rsidRPr="00A86354" w:rsidR="0006032C">
        <w:rPr>
          <w:rFonts w:cs="Arial"/>
          <w:lang w:val="fr-FR"/>
        </w:rPr>
        <w:t>’</w:t>
      </w:r>
      <w:r w:rsidRPr="00A86354">
        <w:rPr>
          <w:rFonts w:cs="Arial"/>
          <w:lang w:val="fr-FR"/>
        </w:rPr>
        <w:t>autorisation de soumettre des</w:t>
      </w:r>
      <w:r w:rsidRPr="00A86354" w:rsidR="00143676">
        <w:rPr>
          <w:rFonts w:cs="Arial"/>
          <w:lang w:val="fr-FR"/>
        </w:rPr>
        <w:t xml:space="preserve"> observations </w:t>
      </w:r>
      <w:r w:rsidRPr="00A86354">
        <w:rPr>
          <w:rFonts w:cs="Arial"/>
          <w:lang w:val="fr-FR"/>
        </w:rPr>
        <w:t>dans le cadre de la présente réclamation</w:t>
      </w:r>
      <w:r w:rsidRPr="00A86354" w:rsidR="00143676">
        <w:rPr>
          <w:rFonts w:cs="Arial"/>
          <w:lang w:val="fr-FR"/>
        </w:rPr>
        <w:t xml:space="preserve">, </w:t>
      </w:r>
      <w:r w:rsidRPr="00A86354">
        <w:rPr>
          <w:rFonts w:cs="Arial"/>
          <w:lang w:val="fr-FR"/>
        </w:rPr>
        <w:t>l</w:t>
      </w:r>
      <w:r w:rsidRPr="00A86354" w:rsidR="00451AB5">
        <w:rPr>
          <w:rFonts w:cs="Arial"/>
          <w:lang w:val="fr-FR"/>
        </w:rPr>
        <w:t>e</w:t>
      </w:r>
      <w:r w:rsidRPr="00A86354">
        <w:rPr>
          <w:rFonts w:cs="Arial"/>
          <w:lang w:val="fr-FR"/>
        </w:rPr>
        <w:t xml:space="preserve"> </w:t>
      </w:r>
      <w:r w:rsidRPr="00A86354" w:rsidR="009E4749">
        <w:rPr>
          <w:rFonts w:cs="Arial"/>
          <w:lang w:val="fr-FR"/>
        </w:rPr>
        <w:t>P</w:t>
      </w:r>
      <w:r w:rsidRPr="00A86354">
        <w:rPr>
          <w:rFonts w:cs="Arial"/>
          <w:lang w:val="fr-FR"/>
        </w:rPr>
        <w:t>résident du Comité a invité</w:t>
      </w:r>
      <w:r w:rsidRPr="00A86354" w:rsidR="00143676">
        <w:rPr>
          <w:rFonts w:cs="Arial"/>
          <w:lang w:val="fr-FR"/>
        </w:rPr>
        <w:t xml:space="preserve">, </w:t>
      </w:r>
      <w:r w:rsidRPr="00A86354">
        <w:rPr>
          <w:rFonts w:cs="Arial"/>
          <w:lang w:val="fr-FR"/>
        </w:rPr>
        <w:t>conformément à l</w:t>
      </w:r>
      <w:r w:rsidRPr="00A86354" w:rsidR="0006032C">
        <w:rPr>
          <w:rFonts w:cs="Arial"/>
          <w:lang w:val="fr-FR"/>
        </w:rPr>
        <w:t>’</w:t>
      </w:r>
      <w:r w:rsidRPr="00A86354">
        <w:rPr>
          <w:rFonts w:cs="Arial"/>
          <w:lang w:val="fr-FR"/>
        </w:rPr>
        <w:t xml:space="preserve">article </w:t>
      </w:r>
      <w:r w:rsidRPr="00A86354" w:rsidR="00143676">
        <w:rPr>
          <w:rFonts w:cs="Arial"/>
          <w:lang w:val="fr-FR"/>
        </w:rPr>
        <w:t xml:space="preserve">32A§1 </w:t>
      </w:r>
      <w:r w:rsidRPr="00A86354">
        <w:rPr>
          <w:rFonts w:cs="Arial"/>
          <w:lang w:val="fr-FR"/>
        </w:rPr>
        <w:t>du Règlement</w:t>
      </w:r>
      <w:r w:rsidRPr="00A86354" w:rsidR="00143676">
        <w:rPr>
          <w:rFonts w:cs="Arial"/>
          <w:lang w:val="fr-FR"/>
        </w:rPr>
        <w:t xml:space="preserve">, </w:t>
      </w:r>
      <w:r w:rsidRPr="00A86354">
        <w:rPr>
          <w:rFonts w:cs="Arial"/>
          <w:lang w:val="fr-FR"/>
        </w:rPr>
        <w:t>la</w:t>
      </w:r>
      <w:r w:rsidRPr="00A86354" w:rsidR="00143676">
        <w:rPr>
          <w:rFonts w:cs="Arial"/>
          <w:lang w:val="fr-FR"/>
        </w:rPr>
        <w:t xml:space="preserve"> CNCDH </w:t>
      </w:r>
      <w:r w:rsidRPr="00A86354">
        <w:rPr>
          <w:rFonts w:cs="Arial"/>
          <w:lang w:val="fr-FR"/>
        </w:rPr>
        <w:t>à soumettre des</w:t>
      </w:r>
      <w:r w:rsidRPr="00A86354" w:rsidR="00143676">
        <w:rPr>
          <w:rFonts w:cs="Arial"/>
          <w:lang w:val="fr-FR"/>
        </w:rPr>
        <w:t xml:space="preserve"> observations</w:t>
      </w:r>
      <w:r w:rsidRPr="00A86354">
        <w:rPr>
          <w:rFonts w:cs="Arial"/>
          <w:lang w:val="fr-FR"/>
        </w:rPr>
        <w:t xml:space="preserve"> écrites sur la présente espèce avant le </w:t>
      </w:r>
      <w:r w:rsidRPr="00A86354" w:rsidR="00143676">
        <w:rPr>
          <w:rFonts w:cs="Arial"/>
          <w:lang w:val="fr-FR"/>
        </w:rPr>
        <w:t xml:space="preserve">14 </w:t>
      </w:r>
      <w:r w:rsidRPr="00A86354">
        <w:rPr>
          <w:rFonts w:cs="Arial"/>
          <w:lang w:val="fr-FR"/>
        </w:rPr>
        <w:t>avril</w:t>
      </w:r>
      <w:r w:rsidRPr="00A86354" w:rsidR="00143676">
        <w:rPr>
          <w:rFonts w:cs="Arial"/>
          <w:lang w:val="fr-FR"/>
        </w:rPr>
        <w:t xml:space="preserve"> 2020.</w:t>
      </w:r>
      <w:r w:rsidRPr="00A86354" w:rsidR="00D718C6">
        <w:rPr>
          <w:rFonts w:cs="Arial"/>
          <w:lang w:val="fr-FR"/>
        </w:rPr>
        <w:t xml:space="preserve"> </w:t>
      </w:r>
      <w:r w:rsidRPr="00A86354">
        <w:rPr>
          <w:rFonts w:cs="Arial"/>
          <w:lang w:val="fr-FR"/>
        </w:rPr>
        <w:t>Les</w:t>
      </w:r>
      <w:r w:rsidRPr="00A86354" w:rsidR="00D718C6">
        <w:rPr>
          <w:rFonts w:cs="Arial"/>
          <w:lang w:val="fr-FR"/>
        </w:rPr>
        <w:t xml:space="preserve"> observations </w:t>
      </w:r>
      <w:r w:rsidRPr="00A86354">
        <w:rPr>
          <w:rFonts w:cs="Arial"/>
          <w:lang w:val="fr-FR"/>
        </w:rPr>
        <w:t>de la</w:t>
      </w:r>
      <w:r w:rsidRPr="00A86354" w:rsidR="00D718C6">
        <w:rPr>
          <w:rFonts w:cs="Arial"/>
          <w:lang w:val="fr-FR"/>
        </w:rPr>
        <w:t xml:space="preserve"> CNCDH </w:t>
      </w:r>
      <w:r w:rsidRPr="00A86354">
        <w:rPr>
          <w:rFonts w:cs="Arial"/>
          <w:lang w:val="fr-FR"/>
        </w:rPr>
        <w:t>ont été enregistrées le</w:t>
      </w:r>
      <w:r w:rsidRPr="00A86354" w:rsidR="00D718C6">
        <w:rPr>
          <w:rFonts w:cs="Arial"/>
          <w:lang w:val="fr-FR"/>
        </w:rPr>
        <w:t xml:space="preserve"> 4 </w:t>
      </w:r>
      <w:r w:rsidRPr="00A86354">
        <w:rPr>
          <w:rFonts w:cs="Arial"/>
          <w:lang w:val="fr-FR"/>
        </w:rPr>
        <w:t>juin</w:t>
      </w:r>
      <w:r w:rsidRPr="00A86354" w:rsidR="00D718C6">
        <w:rPr>
          <w:rFonts w:cs="Arial"/>
          <w:lang w:val="fr-FR"/>
        </w:rPr>
        <w:t xml:space="preserve"> 2020. </w:t>
      </w:r>
      <w:r w:rsidRPr="00A86354" w:rsidR="00143676">
        <w:rPr>
          <w:rFonts w:cs="Arial"/>
          <w:lang w:val="fr-FR"/>
        </w:rPr>
        <w:t xml:space="preserve"> </w:t>
      </w:r>
    </w:p>
    <w:p w:rsidRPr="00A86354" w:rsidR="00304F19" w:rsidP="00304F19" w:rsidRDefault="00304F19" w14:paraId="36B9B104" w14:textId="77777777">
      <w:pPr>
        <w:pStyle w:val="ListParagraph"/>
        <w:ind w:left="360"/>
        <w:rPr>
          <w:rFonts w:cs="Arial"/>
          <w:lang w:val="fr-FR"/>
        </w:rPr>
      </w:pPr>
    </w:p>
    <w:p w:rsidRPr="00A86354" w:rsidR="003675C3" w:rsidP="00CE016A" w:rsidRDefault="005C7942" w14:paraId="0DB1F49A" w14:textId="7B750A97">
      <w:pPr>
        <w:pStyle w:val="ListParagraph"/>
        <w:numPr>
          <w:ilvl w:val="0"/>
          <w:numId w:val="1"/>
        </w:numPr>
        <w:ind w:left="0" w:firstLine="0"/>
        <w:rPr>
          <w:rFonts w:cs="Arial"/>
          <w:lang w:val="fr-FR"/>
        </w:rPr>
      </w:pPr>
      <w:r w:rsidRPr="00A86354">
        <w:rPr>
          <w:rFonts w:cs="Arial"/>
          <w:lang w:val="fr-FR"/>
        </w:rPr>
        <w:t>La rép</w:t>
      </w:r>
      <w:r w:rsidRPr="00A86354" w:rsidR="009E4749">
        <w:rPr>
          <w:rFonts w:cs="Arial"/>
          <w:lang w:val="fr-FR"/>
        </w:rPr>
        <w:t>onse</w:t>
      </w:r>
      <w:r w:rsidRPr="00A86354">
        <w:rPr>
          <w:rFonts w:cs="Arial"/>
          <w:lang w:val="fr-FR"/>
        </w:rPr>
        <w:t xml:space="preserve"> du </w:t>
      </w:r>
      <w:r w:rsidRPr="00A86354" w:rsidR="00AE34AC">
        <w:rPr>
          <w:rFonts w:cs="Arial"/>
          <w:lang w:val="fr-FR"/>
        </w:rPr>
        <w:t>Gouvernement</w:t>
      </w:r>
      <w:r w:rsidRPr="00A86354">
        <w:rPr>
          <w:rFonts w:cs="Arial"/>
          <w:lang w:val="fr-FR"/>
        </w:rPr>
        <w:t xml:space="preserve"> aux</w:t>
      </w:r>
      <w:r w:rsidRPr="00A86354" w:rsidR="003675C3">
        <w:rPr>
          <w:rFonts w:cs="Arial"/>
          <w:lang w:val="fr-FR"/>
        </w:rPr>
        <w:t xml:space="preserve"> observations </w:t>
      </w:r>
      <w:r w:rsidRPr="00A86354">
        <w:rPr>
          <w:rFonts w:cs="Arial"/>
          <w:lang w:val="fr-FR"/>
        </w:rPr>
        <w:t>de la</w:t>
      </w:r>
      <w:r w:rsidRPr="00A86354" w:rsidR="003675C3">
        <w:rPr>
          <w:rFonts w:cs="Arial"/>
          <w:lang w:val="fr-FR"/>
        </w:rPr>
        <w:t xml:space="preserve"> CNCDH </w:t>
      </w:r>
      <w:r w:rsidRPr="00A86354">
        <w:rPr>
          <w:rFonts w:cs="Arial"/>
          <w:lang w:val="fr-FR"/>
        </w:rPr>
        <w:t xml:space="preserve">a été enregistrée </w:t>
      </w:r>
      <w:r w:rsidRPr="00A86354" w:rsidR="003F0C2E">
        <w:rPr>
          <w:rFonts w:cs="Arial"/>
          <w:lang w:val="fr-FR"/>
        </w:rPr>
        <w:t>au</w:t>
      </w:r>
      <w:r w:rsidRPr="00A86354">
        <w:rPr>
          <w:rFonts w:cs="Arial"/>
          <w:lang w:val="fr-FR"/>
        </w:rPr>
        <w:t xml:space="preserve"> secrétariat le</w:t>
      </w:r>
      <w:r w:rsidRPr="00A86354" w:rsidR="003675C3">
        <w:rPr>
          <w:rFonts w:cs="Arial"/>
          <w:lang w:val="fr-FR"/>
        </w:rPr>
        <w:t xml:space="preserve"> 7 </w:t>
      </w:r>
      <w:r w:rsidRPr="00A86354">
        <w:rPr>
          <w:rFonts w:cs="Arial"/>
          <w:lang w:val="fr-FR"/>
        </w:rPr>
        <w:t>décembre</w:t>
      </w:r>
      <w:r w:rsidRPr="00A86354" w:rsidR="003675C3">
        <w:rPr>
          <w:rFonts w:cs="Arial"/>
          <w:lang w:val="fr-FR"/>
        </w:rPr>
        <w:t xml:space="preserve"> 2020. </w:t>
      </w:r>
    </w:p>
    <w:p w:rsidRPr="00A86354" w:rsidR="00304F19" w:rsidP="00304F19" w:rsidRDefault="00304F19" w14:paraId="5D9369B7" w14:textId="77777777">
      <w:pPr>
        <w:pStyle w:val="ListParagraph"/>
        <w:ind w:left="360"/>
        <w:rPr>
          <w:rFonts w:cs="Arial"/>
          <w:lang w:val="fr-FR"/>
        </w:rPr>
      </w:pPr>
    </w:p>
    <w:p w:rsidRPr="00A86354" w:rsidR="00304F19" w:rsidP="00CE016A" w:rsidRDefault="005C7942" w14:paraId="4E04AD4B" w14:textId="3F2D9CB7">
      <w:pPr>
        <w:pStyle w:val="ListParagraph"/>
        <w:numPr>
          <w:ilvl w:val="0"/>
          <w:numId w:val="1"/>
        </w:numPr>
        <w:ind w:left="0" w:firstLine="0"/>
        <w:rPr>
          <w:rFonts w:cs="Arial"/>
          <w:lang w:val="fr-FR"/>
        </w:rPr>
      </w:pPr>
      <w:r w:rsidRPr="00A86354">
        <w:rPr>
          <w:rFonts w:cs="Arial"/>
          <w:lang w:val="fr-FR"/>
        </w:rPr>
        <w:t>A la suite de la demande de la</w:t>
      </w:r>
      <w:r w:rsidRPr="00A86354" w:rsidR="00304F19">
        <w:rPr>
          <w:rFonts w:cs="Arial"/>
          <w:lang w:val="fr-FR"/>
        </w:rPr>
        <w:t xml:space="preserve"> Défenseure </w:t>
      </w:r>
      <w:r w:rsidRPr="00A86354">
        <w:rPr>
          <w:rFonts w:cs="Arial"/>
          <w:lang w:val="fr-FR"/>
        </w:rPr>
        <w:t xml:space="preserve">française </w:t>
      </w:r>
      <w:r w:rsidRPr="00A86354" w:rsidR="00304F19">
        <w:rPr>
          <w:rFonts w:cs="Arial"/>
          <w:lang w:val="fr-FR"/>
        </w:rPr>
        <w:t>des droits</w:t>
      </w:r>
      <w:r w:rsidRPr="00A86354">
        <w:rPr>
          <w:rFonts w:cs="Arial"/>
          <w:i/>
          <w:iCs/>
          <w:lang w:val="fr-FR"/>
        </w:rPr>
        <w:t xml:space="preserve"> </w:t>
      </w:r>
      <w:r w:rsidRPr="00A86354">
        <w:rPr>
          <w:rFonts w:cs="Arial"/>
          <w:lang w:val="fr-FR"/>
        </w:rPr>
        <w:t>de soumettre des</w:t>
      </w:r>
      <w:r w:rsidRPr="00A86354" w:rsidR="00304F19">
        <w:rPr>
          <w:rFonts w:cs="Arial"/>
          <w:lang w:val="fr-FR"/>
        </w:rPr>
        <w:t xml:space="preserve"> observations </w:t>
      </w:r>
      <w:r w:rsidRPr="00A86354">
        <w:rPr>
          <w:rFonts w:cs="Arial"/>
          <w:lang w:val="fr-FR"/>
        </w:rPr>
        <w:t>dans le cadre de la présente réclamation</w:t>
      </w:r>
      <w:r w:rsidRPr="00A86354" w:rsidR="00304F19">
        <w:rPr>
          <w:rFonts w:cs="Arial"/>
          <w:lang w:val="fr-FR"/>
        </w:rPr>
        <w:t xml:space="preserve">, </w:t>
      </w:r>
      <w:r w:rsidRPr="00A86354">
        <w:rPr>
          <w:rFonts w:cs="Arial"/>
          <w:lang w:val="fr-FR"/>
        </w:rPr>
        <w:t>l</w:t>
      </w:r>
      <w:r w:rsidRPr="00A86354" w:rsidR="00451AB5">
        <w:rPr>
          <w:rFonts w:cs="Arial"/>
          <w:lang w:val="fr-FR"/>
        </w:rPr>
        <w:t>e</w:t>
      </w:r>
      <w:r w:rsidRPr="00A86354">
        <w:rPr>
          <w:rFonts w:cs="Arial"/>
          <w:lang w:val="fr-FR"/>
        </w:rPr>
        <w:t xml:space="preserve"> </w:t>
      </w:r>
      <w:r w:rsidRPr="00A86354" w:rsidR="009E4749">
        <w:rPr>
          <w:rFonts w:cs="Arial"/>
          <w:lang w:val="fr-FR"/>
        </w:rPr>
        <w:t>P</w:t>
      </w:r>
      <w:r w:rsidRPr="00A86354">
        <w:rPr>
          <w:rFonts w:cs="Arial"/>
          <w:lang w:val="fr-FR"/>
        </w:rPr>
        <w:t>résident du Comité a invité, conformément au Protocole et à l</w:t>
      </w:r>
      <w:r w:rsidRPr="00A86354" w:rsidR="0006032C">
        <w:rPr>
          <w:rFonts w:cs="Arial"/>
          <w:lang w:val="fr-FR"/>
        </w:rPr>
        <w:t>’</w:t>
      </w:r>
      <w:r w:rsidRPr="00A86354">
        <w:rPr>
          <w:rFonts w:cs="Arial"/>
          <w:lang w:val="fr-FR"/>
        </w:rPr>
        <w:t>article 32A§1 du Règlement, la Défenseure des droits à soumettre ses observations écrites sur la présente espèce avant le 3</w:t>
      </w:r>
      <w:r w:rsidRPr="00A86354" w:rsidR="00304F19">
        <w:rPr>
          <w:rFonts w:cs="Arial"/>
          <w:lang w:val="fr-FR"/>
        </w:rPr>
        <w:t>1</w:t>
      </w:r>
      <w:r w:rsidRPr="00A86354">
        <w:rPr>
          <w:rFonts w:cs="Arial"/>
          <w:lang w:val="fr-FR"/>
        </w:rPr>
        <w:t> mars</w:t>
      </w:r>
      <w:r w:rsidRPr="00A86354" w:rsidR="00304F19">
        <w:rPr>
          <w:rFonts w:cs="Arial"/>
          <w:lang w:val="fr-FR"/>
        </w:rPr>
        <w:t xml:space="preserve"> 2021. </w:t>
      </w:r>
      <w:r w:rsidRPr="00A86354">
        <w:rPr>
          <w:rFonts w:cs="Arial"/>
          <w:lang w:val="fr-FR"/>
        </w:rPr>
        <w:t>Les</w:t>
      </w:r>
      <w:r w:rsidRPr="00A86354" w:rsidR="00304F19">
        <w:rPr>
          <w:rFonts w:cs="Arial"/>
          <w:lang w:val="fr-FR"/>
        </w:rPr>
        <w:t xml:space="preserve"> observations </w:t>
      </w:r>
      <w:r w:rsidRPr="00A86354">
        <w:rPr>
          <w:rFonts w:cs="Arial"/>
          <w:lang w:val="fr-FR"/>
        </w:rPr>
        <w:t>de la Défenseure des droits</w:t>
      </w:r>
      <w:r w:rsidRPr="00A86354">
        <w:rPr>
          <w:rFonts w:cs="Arial"/>
          <w:i/>
          <w:iCs/>
          <w:lang w:val="fr-FR"/>
        </w:rPr>
        <w:t xml:space="preserve"> </w:t>
      </w:r>
      <w:r w:rsidRPr="00A86354">
        <w:rPr>
          <w:rFonts w:cs="Arial"/>
          <w:lang w:val="fr-FR"/>
        </w:rPr>
        <w:t xml:space="preserve">ont été enregistrées le </w:t>
      </w:r>
      <w:r w:rsidRPr="00A86354" w:rsidR="00304F19">
        <w:rPr>
          <w:rFonts w:cs="Arial"/>
          <w:lang w:val="fr-FR"/>
        </w:rPr>
        <w:t xml:space="preserve">26 </w:t>
      </w:r>
      <w:r w:rsidRPr="00A86354">
        <w:rPr>
          <w:rFonts w:cs="Arial"/>
          <w:lang w:val="fr-FR"/>
        </w:rPr>
        <w:t xml:space="preserve">mars </w:t>
      </w:r>
      <w:r w:rsidRPr="00A86354" w:rsidR="00304F19">
        <w:rPr>
          <w:rFonts w:cs="Arial"/>
          <w:lang w:val="fr-FR"/>
        </w:rPr>
        <w:t xml:space="preserve">2021. </w:t>
      </w:r>
      <w:r w:rsidRPr="00A86354">
        <w:rPr>
          <w:rFonts w:cs="Arial"/>
          <w:lang w:val="fr-FR"/>
        </w:rPr>
        <w:t>L</w:t>
      </w:r>
      <w:r w:rsidRPr="00A86354" w:rsidR="00451AB5">
        <w:rPr>
          <w:rFonts w:cs="Arial"/>
          <w:lang w:val="fr-FR"/>
        </w:rPr>
        <w:t>e</w:t>
      </w:r>
      <w:r w:rsidRPr="00A86354">
        <w:rPr>
          <w:rFonts w:cs="Arial"/>
          <w:lang w:val="fr-FR"/>
        </w:rPr>
        <w:t xml:space="preserve"> </w:t>
      </w:r>
      <w:r w:rsidRPr="00A86354" w:rsidR="009E4749">
        <w:rPr>
          <w:rFonts w:cs="Arial"/>
          <w:lang w:val="fr-FR"/>
        </w:rPr>
        <w:t>P</w:t>
      </w:r>
      <w:r w:rsidRPr="00A86354">
        <w:rPr>
          <w:rFonts w:cs="Arial"/>
          <w:lang w:val="fr-FR"/>
        </w:rPr>
        <w:t>résident du Comité a invité les</w:t>
      </w:r>
      <w:r w:rsidRPr="00A86354" w:rsidR="00304F19">
        <w:rPr>
          <w:rFonts w:cs="Arial"/>
          <w:lang w:val="fr-FR"/>
        </w:rPr>
        <w:t xml:space="preserve"> organisations </w:t>
      </w:r>
      <w:r w:rsidRPr="00A86354">
        <w:rPr>
          <w:rFonts w:cs="Arial"/>
          <w:lang w:val="fr-FR"/>
        </w:rPr>
        <w:t xml:space="preserve">réclamantes et le </w:t>
      </w:r>
      <w:r w:rsidRPr="00A86354" w:rsidR="00AE34AC">
        <w:rPr>
          <w:rFonts w:cs="Arial"/>
          <w:lang w:val="fr-FR"/>
        </w:rPr>
        <w:t>Gouvernement</w:t>
      </w:r>
      <w:r w:rsidRPr="00A86354">
        <w:rPr>
          <w:rFonts w:cs="Arial"/>
          <w:lang w:val="fr-FR"/>
        </w:rPr>
        <w:t xml:space="preserve"> à soumettre d</w:t>
      </w:r>
      <w:r w:rsidRPr="00A86354" w:rsidR="0006032C">
        <w:rPr>
          <w:rFonts w:cs="Arial"/>
          <w:lang w:val="fr-FR"/>
        </w:rPr>
        <w:t>’</w:t>
      </w:r>
      <w:r w:rsidRPr="00A86354">
        <w:rPr>
          <w:rFonts w:cs="Arial"/>
          <w:lang w:val="fr-FR"/>
        </w:rPr>
        <w:t>éventuelles rép</w:t>
      </w:r>
      <w:r w:rsidRPr="00A86354" w:rsidR="009E4749">
        <w:rPr>
          <w:rFonts w:cs="Arial"/>
          <w:lang w:val="fr-FR"/>
        </w:rPr>
        <w:t>onses</w:t>
      </w:r>
      <w:r w:rsidRPr="00A86354">
        <w:rPr>
          <w:rFonts w:cs="Arial"/>
          <w:lang w:val="fr-FR"/>
        </w:rPr>
        <w:t xml:space="preserve"> à ces observations avant le</w:t>
      </w:r>
      <w:r w:rsidRPr="00A86354" w:rsidR="00304F19">
        <w:rPr>
          <w:rFonts w:cs="Arial"/>
          <w:lang w:val="fr-FR"/>
        </w:rPr>
        <w:t xml:space="preserve"> 25 </w:t>
      </w:r>
      <w:r w:rsidRPr="00A86354">
        <w:rPr>
          <w:rFonts w:cs="Arial"/>
          <w:lang w:val="fr-FR"/>
        </w:rPr>
        <w:t>mai</w:t>
      </w:r>
      <w:r w:rsidRPr="00A86354" w:rsidR="00304F19">
        <w:rPr>
          <w:rFonts w:cs="Arial"/>
          <w:lang w:val="fr-FR"/>
        </w:rPr>
        <w:t xml:space="preserve"> 2021.  </w:t>
      </w:r>
    </w:p>
    <w:p w:rsidRPr="00A86354" w:rsidR="00D779BE" w:rsidP="00D779BE" w:rsidRDefault="00D779BE" w14:paraId="057DF494" w14:textId="77777777">
      <w:pPr>
        <w:pStyle w:val="ListParagraph"/>
        <w:ind w:left="360"/>
        <w:rPr>
          <w:rFonts w:cs="Arial"/>
          <w:lang w:val="fr-FR"/>
        </w:rPr>
      </w:pPr>
    </w:p>
    <w:p w:rsidRPr="00A86354" w:rsidR="00D97A01" w:rsidP="00CE016A" w:rsidRDefault="00015EDB" w14:paraId="24F437A9" w14:textId="3791B9DA">
      <w:pPr>
        <w:pStyle w:val="ListParagraph"/>
        <w:numPr>
          <w:ilvl w:val="0"/>
          <w:numId w:val="1"/>
        </w:numPr>
        <w:ind w:left="0" w:firstLine="0"/>
        <w:rPr>
          <w:rFonts w:cs="Arial"/>
          <w:lang w:val="fr-FR"/>
        </w:rPr>
      </w:pPr>
      <w:r w:rsidRPr="00A86354">
        <w:rPr>
          <w:rFonts w:cs="Arial"/>
          <w:lang w:val="fr-FR"/>
        </w:rPr>
        <w:lastRenderedPageBreak/>
        <w:t>Conformément à l</w:t>
      </w:r>
      <w:r w:rsidRPr="00A86354" w:rsidR="0006032C">
        <w:rPr>
          <w:rFonts w:cs="Arial"/>
          <w:lang w:val="fr-FR"/>
        </w:rPr>
        <w:t>’</w:t>
      </w:r>
      <w:r w:rsidRPr="00A86354">
        <w:rPr>
          <w:rFonts w:cs="Arial"/>
          <w:lang w:val="fr-FR"/>
        </w:rPr>
        <w:t xml:space="preserve">article </w:t>
      </w:r>
      <w:r w:rsidRPr="00A86354" w:rsidR="00D779BE">
        <w:rPr>
          <w:rFonts w:cs="Arial"/>
          <w:lang w:val="fr-FR"/>
        </w:rPr>
        <w:t xml:space="preserve">7 </w:t>
      </w:r>
      <w:r w:rsidRPr="00A86354">
        <w:rPr>
          <w:rFonts w:cs="Arial"/>
          <w:lang w:val="fr-FR"/>
        </w:rPr>
        <w:t>du</w:t>
      </w:r>
      <w:r w:rsidRPr="00A86354" w:rsidR="00D779BE">
        <w:rPr>
          <w:rFonts w:cs="Arial"/>
          <w:lang w:val="fr-FR"/>
        </w:rPr>
        <w:t xml:space="preserve"> Protocol</w:t>
      </w:r>
      <w:r w:rsidRPr="00A86354">
        <w:rPr>
          <w:rFonts w:cs="Arial"/>
          <w:lang w:val="fr-FR"/>
        </w:rPr>
        <w:t>e et à</w:t>
      </w:r>
      <w:r w:rsidRPr="00A86354">
        <w:rPr>
          <w:rFonts w:eastAsia="Calibri"/>
          <w:lang w:val="fr-FR" w:eastAsia="en-US"/>
        </w:rPr>
        <w:t xml:space="preserve"> </w:t>
      </w:r>
      <w:r w:rsidRPr="00A86354">
        <w:rPr>
          <w:rFonts w:cs="Arial"/>
          <w:lang w:val="fr-FR"/>
        </w:rPr>
        <w:t>l</w:t>
      </w:r>
      <w:r w:rsidRPr="00A86354" w:rsidR="0006032C">
        <w:rPr>
          <w:rFonts w:cs="Arial"/>
          <w:lang w:val="fr-FR"/>
        </w:rPr>
        <w:t>’</w:t>
      </w:r>
      <w:r w:rsidRPr="00A86354">
        <w:rPr>
          <w:rFonts w:cs="Arial"/>
          <w:lang w:val="fr-FR"/>
        </w:rPr>
        <w:t>article</w:t>
      </w:r>
      <w:r w:rsidRPr="00A86354" w:rsidR="00D779BE">
        <w:rPr>
          <w:rFonts w:cs="Arial"/>
          <w:lang w:val="fr-FR"/>
        </w:rPr>
        <w:t xml:space="preserve"> 28§2 </w:t>
      </w:r>
      <w:r w:rsidRPr="00A86354">
        <w:rPr>
          <w:rFonts w:cs="Arial"/>
          <w:lang w:val="fr-FR"/>
        </w:rPr>
        <w:t>du Règlement</w:t>
      </w:r>
      <w:r w:rsidRPr="00A86354" w:rsidR="00D779BE">
        <w:rPr>
          <w:rFonts w:cs="Arial"/>
          <w:lang w:val="fr-FR"/>
        </w:rPr>
        <w:t>,</w:t>
      </w:r>
      <w:r w:rsidRPr="00A86354">
        <w:rPr>
          <w:rFonts w:cs="Arial"/>
          <w:lang w:val="fr-FR"/>
        </w:rPr>
        <w:t xml:space="preserve"> l</w:t>
      </w:r>
      <w:r w:rsidRPr="00A86354" w:rsidR="00451AB5">
        <w:rPr>
          <w:rFonts w:cs="Arial"/>
          <w:lang w:val="fr-FR"/>
        </w:rPr>
        <w:t>e</w:t>
      </w:r>
      <w:r w:rsidRPr="00A86354">
        <w:rPr>
          <w:rFonts w:cs="Arial"/>
          <w:lang w:val="fr-FR"/>
        </w:rPr>
        <w:t xml:space="preserve"> </w:t>
      </w:r>
      <w:r w:rsidRPr="00A86354" w:rsidR="009E4749">
        <w:rPr>
          <w:rFonts w:cs="Arial"/>
          <w:lang w:val="fr-FR"/>
        </w:rPr>
        <w:t>P</w:t>
      </w:r>
      <w:r w:rsidRPr="00A86354">
        <w:rPr>
          <w:rFonts w:cs="Arial"/>
          <w:lang w:val="fr-FR"/>
        </w:rPr>
        <w:t xml:space="preserve">résident du Comité a accepté la demande du </w:t>
      </w:r>
      <w:r w:rsidRPr="00A86354" w:rsidR="00AE34AC">
        <w:rPr>
          <w:rFonts w:cs="Arial"/>
          <w:lang w:val="fr-FR"/>
        </w:rPr>
        <w:t>Gouvernement</w:t>
      </w:r>
      <w:r w:rsidRPr="00A86354">
        <w:rPr>
          <w:rFonts w:cs="Arial"/>
          <w:lang w:val="fr-FR"/>
        </w:rPr>
        <w:t xml:space="preserve"> et prorogé le délai pour soumettre sa réplique aux observations de la Défenseure des droits au</w:t>
      </w:r>
      <w:r w:rsidRPr="00A86354" w:rsidR="00D779BE">
        <w:rPr>
          <w:rFonts w:cs="Arial"/>
          <w:lang w:val="fr-FR"/>
        </w:rPr>
        <w:t xml:space="preserve"> 11 </w:t>
      </w:r>
      <w:r w:rsidRPr="00A86354">
        <w:rPr>
          <w:rFonts w:cs="Arial"/>
          <w:lang w:val="fr-FR"/>
        </w:rPr>
        <w:t>juin</w:t>
      </w:r>
      <w:r w:rsidRPr="00A86354" w:rsidR="00D779BE">
        <w:rPr>
          <w:rFonts w:cs="Arial"/>
          <w:lang w:val="fr-FR"/>
        </w:rPr>
        <w:t xml:space="preserve"> 2021. </w:t>
      </w:r>
      <w:r w:rsidRPr="00A86354">
        <w:rPr>
          <w:rFonts w:cs="Arial"/>
          <w:lang w:val="fr-FR"/>
        </w:rPr>
        <w:t>La rép</w:t>
      </w:r>
      <w:r w:rsidRPr="00A86354" w:rsidR="009E4749">
        <w:rPr>
          <w:rFonts w:cs="Arial"/>
          <w:lang w:val="fr-FR"/>
        </w:rPr>
        <w:t>onse</w:t>
      </w:r>
      <w:r w:rsidRPr="00A86354">
        <w:rPr>
          <w:rFonts w:cs="Arial"/>
          <w:lang w:val="fr-FR"/>
        </w:rPr>
        <w:t xml:space="preserve"> du </w:t>
      </w:r>
      <w:r w:rsidRPr="00A86354" w:rsidR="00AE34AC">
        <w:rPr>
          <w:rFonts w:cs="Arial"/>
          <w:lang w:val="fr-FR"/>
        </w:rPr>
        <w:t>Gouvernement</w:t>
      </w:r>
      <w:r w:rsidRPr="00A86354">
        <w:rPr>
          <w:rFonts w:cs="Arial"/>
          <w:lang w:val="fr-FR"/>
        </w:rPr>
        <w:t xml:space="preserve"> a été enregistrée le</w:t>
      </w:r>
      <w:r w:rsidRPr="00A86354" w:rsidR="00D779BE">
        <w:rPr>
          <w:rFonts w:cs="Arial"/>
          <w:lang w:val="fr-FR"/>
        </w:rPr>
        <w:t xml:space="preserve"> 16 </w:t>
      </w:r>
      <w:r w:rsidRPr="00A86354">
        <w:rPr>
          <w:rFonts w:cs="Arial"/>
          <w:lang w:val="fr-FR"/>
        </w:rPr>
        <w:t xml:space="preserve">juin </w:t>
      </w:r>
      <w:r w:rsidRPr="00A86354" w:rsidR="00D779BE">
        <w:rPr>
          <w:rFonts w:cs="Arial"/>
          <w:lang w:val="fr-FR"/>
        </w:rPr>
        <w:t xml:space="preserve">2021.  </w:t>
      </w:r>
    </w:p>
    <w:p w:rsidRPr="00A86354" w:rsidR="00872BA4" w:rsidP="00A86354" w:rsidRDefault="00872BA4" w14:paraId="2ACA9D13" w14:textId="44189388">
      <w:pPr>
        <w:pStyle w:val="ListParagraph"/>
        <w:rPr>
          <w:rFonts w:cs="Arial"/>
          <w:lang w:val="fr-FR"/>
        </w:rPr>
      </w:pPr>
    </w:p>
    <w:p w:rsidRPr="00A86354" w:rsidR="009E4749" w:rsidP="00872BA4" w:rsidRDefault="009E4749" w14:paraId="0DDE6D56" w14:textId="77777777">
      <w:pPr>
        <w:tabs>
          <w:tab w:val="left" w:pos="709"/>
        </w:tabs>
        <w:rPr>
          <w:rFonts w:ascii="Arial" w:hAnsi="Arial" w:eastAsia="Calibri" w:cs="Arial"/>
          <w:b/>
          <w:bCs/>
          <w:lang w:val="fr-FR"/>
        </w:rPr>
      </w:pPr>
    </w:p>
    <w:p w:rsidRPr="00A86354" w:rsidR="00872BA4" w:rsidP="00872BA4" w:rsidRDefault="00015EDB" w14:paraId="78E1B69B" w14:textId="0153FB5A">
      <w:pPr>
        <w:tabs>
          <w:tab w:val="left" w:pos="709"/>
        </w:tabs>
        <w:rPr>
          <w:rFonts w:ascii="Arial" w:hAnsi="Arial" w:eastAsia="Calibri" w:cs="Arial"/>
          <w:b/>
          <w:lang w:val="fr-FR"/>
        </w:rPr>
      </w:pPr>
      <w:r w:rsidRPr="00A86354">
        <w:rPr>
          <w:rFonts w:ascii="Arial" w:hAnsi="Arial" w:eastAsia="Calibri" w:cs="Arial"/>
          <w:b/>
          <w:bCs/>
          <w:lang w:val="fr-FR"/>
        </w:rPr>
        <w:t xml:space="preserve">CONCLUSIONS DES </w:t>
      </w:r>
      <w:r w:rsidRPr="00A86354" w:rsidR="00872BA4">
        <w:rPr>
          <w:rFonts w:ascii="Arial" w:hAnsi="Arial" w:eastAsia="Calibri" w:cs="Arial"/>
          <w:b/>
          <w:lang w:val="fr-FR"/>
        </w:rPr>
        <w:t>PARTIES</w:t>
      </w:r>
    </w:p>
    <w:p w:rsidRPr="00A86354" w:rsidR="00872BA4" w:rsidP="00872BA4" w:rsidRDefault="00872BA4" w14:paraId="0627566B" w14:textId="77777777">
      <w:pPr>
        <w:rPr>
          <w:rFonts w:ascii="Arial" w:hAnsi="Arial" w:cs="Arial"/>
          <w:lang w:val="fr-FR"/>
        </w:rPr>
      </w:pPr>
    </w:p>
    <w:p w:rsidRPr="00A86354" w:rsidR="00872BA4" w:rsidP="00872BA4" w:rsidRDefault="00872BA4" w14:paraId="2E2AEEF6" w14:textId="6C93A248">
      <w:pPr>
        <w:tabs>
          <w:tab w:val="left" w:pos="709"/>
        </w:tabs>
        <w:outlineLvl w:val="0"/>
        <w:rPr>
          <w:rFonts w:ascii="Arial" w:hAnsi="Arial" w:eastAsia="Calibri" w:cs="Arial"/>
          <w:b/>
          <w:lang w:val="fr-FR"/>
        </w:rPr>
      </w:pPr>
      <w:r w:rsidRPr="00A86354">
        <w:rPr>
          <w:rFonts w:ascii="Arial" w:hAnsi="Arial" w:eastAsia="Calibri" w:cs="Arial"/>
          <w:b/>
          <w:lang w:val="fr-FR"/>
        </w:rPr>
        <w:t xml:space="preserve">A – </w:t>
      </w:r>
      <w:r w:rsidRPr="00A86354" w:rsidR="00454776">
        <w:rPr>
          <w:rFonts w:ascii="Arial" w:hAnsi="Arial" w:eastAsia="Calibri" w:cs="Arial"/>
          <w:b/>
          <w:lang w:val="fr-FR"/>
        </w:rPr>
        <w:t>Les</w:t>
      </w:r>
      <w:r w:rsidRPr="00A86354">
        <w:rPr>
          <w:rFonts w:ascii="Arial" w:hAnsi="Arial" w:eastAsia="Calibri" w:cs="Arial"/>
          <w:b/>
          <w:lang w:val="fr-FR"/>
        </w:rPr>
        <w:t xml:space="preserve"> organisations</w:t>
      </w:r>
      <w:r w:rsidRPr="00A86354" w:rsidR="00454776">
        <w:rPr>
          <w:rFonts w:ascii="Arial" w:hAnsi="Arial" w:eastAsia="Calibri" w:cs="Arial"/>
          <w:b/>
          <w:lang w:val="fr-FR"/>
        </w:rPr>
        <w:t xml:space="preserve"> </w:t>
      </w:r>
      <w:r w:rsidRPr="00A86354" w:rsidR="009E4749">
        <w:rPr>
          <w:rFonts w:ascii="Arial" w:hAnsi="Arial" w:eastAsia="Calibri" w:cs="Arial"/>
          <w:b/>
          <w:bCs/>
          <w:lang w:val="fr-FR"/>
        </w:rPr>
        <w:t>auteurs de la réclamation</w:t>
      </w:r>
      <w:r w:rsidRPr="00A86354" w:rsidDel="009E4749" w:rsidR="009E4749">
        <w:rPr>
          <w:rFonts w:ascii="Arial" w:hAnsi="Arial" w:eastAsia="Calibri" w:cs="Arial"/>
          <w:b/>
          <w:lang w:val="fr-FR"/>
        </w:rPr>
        <w:t xml:space="preserve"> </w:t>
      </w:r>
    </w:p>
    <w:p w:rsidRPr="00A86354" w:rsidR="00872BA4" w:rsidP="00872BA4" w:rsidRDefault="00872BA4" w14:paraId="17B79527" w14:textId="77777777">
      <w:pPr>
        <w:rPr>
          <w:rFonts w:ascii="Arial" w:hAnsi="Arial" w:cs="Arial"/>
          <w:lang w:val="fr-FR"/>
        </w:rPr>
      </w:pPr>
    </w:p>
    <w:p w:rsidRPr="00A86354" w:rsidR="002A3BD6" w:rsidP="00CE016A" w:rsidRDefault="00872BA4" w14:paraId="10E16828" w14:textId="0B8768D7">
      <w:pPr>
        <w:pStyle w:val="ListParagraph"/>
        <w:numPr>
          <w:ilvl w:val="0"/>
          <w:numId w:val="1"/>
        </w:numPr>
        <w:ind w:left="0" w:firstLine="0"/>
        <w:rPr>
          <w:rFonts w:cs="Arial"/>
          <w:lang w:val="fr-FR"/>
        </w:rPr>
      </w:pPr>
      <w:r w:rsidRPr="00A86354">
        <w:rPr>
          <w:rFonts w:cs="Arial"/>
          <w:lang w:val="fr-FR"/>
        </w:rPr>
        <w:t xml:space="preserve">EDF </w:t>
      </w:r>
      <w:r w:rsidRPr="00A86354" w:rsidR="00454776">
        <w:rPr>
          <w:rFonts w:cs="Arial"/>
          <w:lang w:val="fr-FR"/>
        </w:rPr>
        <w:t>et</w:t>
      </w:r>
      <w:r w:rsidRPr="00A86354">
        <w:rPr>
          <w:rFonts w:cs="Arial"/>
          <w:lang w:val="fr-FR"/>
        </w:rPr>
        <w:t xml:space="preserve"> Inclusion Europe </w:t>
      </w:r>
      <w:r w:rsidRPr="00A86354" w:rsidR="00E03D7A">
        <w:rPr>
          <w:rFonts w:cs="Arial"/>
          <w:lang w:val="fr-FR"/>
        </w:rPr>
        <w:t xml:space="preserve">allèguent </w:t>
      </w:r>
      <w:r w:rsidRPr="00A86354" w:rsidR="00454776">
        <w:rPr>
          <w:rFonts w:cs="Arial"/>
          <w:lang w:val="fr-FR"/>
        </w:rPr>
        <w:t>qu</w:t>
      </w:r>
      <w:r w:rsidRPr="00A86354" w:rsidR="0006032C">
        <w:rPr>
          <w:rFonts w:cs="Arial"/>
          <w:lang w:val="fr-FR"/>
        </w:rPr>
        <w:t>’</w:t>
      </w:r>
      <w:r w:rsidRPr="00A86354" w:rsidR="00454776">
        <w:rPr>
          <w:rFonts w:cs="Arial"/>
          <w:lang w:val="fr-FR"/>
        </w:rPr>
        <w:t>en</w:t>
      </w:r>
      <w:r w:rsidRPr="00A86354">
        <w:rPr>
          <w:rFonts w:cs="Arial"/>
          <w:lang w:val="fr-FR"/>
        </w:rPr>
        <w:t xml:space="preserve"> </w:t>
      </w:r>
      <w:r w:rsidRPr="00A86354" w:rsidR="00454776">
        <w:rPr>
          <w:rFonts w:cs="Arial"/>
          <w:lang w:val="fr-FR"/>
        </w:rPr>
        <w:t>ne mettant pas en œuvre les</w:t>
      </w:r>
      <w:r w:rsidRPr="00A86354">
        <w:rPr>
          <w:rFonts w:cs="Arial"/>
          <w:lang w:val="fr-FR"/>
        </w:rPr>
        <w:t xml:space="preserve"> mesures </w:t>
      </w:r>
      <w:r w:rsidRPr="00A86354" w:rsidR="00454776">
        <w:rPr>
          <w:rFonts w:cs="Arial"/>
          <w:lang w:val="fr-FR"/>
        </w:rPr>
        <w:t>nécessaires pour garantir aux personnes handicapées un accès suffisant et effectif à l</w:t>
      </w:r>
      <w:r w:rsidRPr="00A86354" w:rsidR="0006032C">
        <w:rPr>
          <w:rFonts w:cs="Arial"/>
          <w:lang w:val="fr-FR"/>
        </w:rPr>
        <w:t>’</w:t>
      </w:r>
      <w:r w:rsidRPr="00A86354" w:rsidR="00454776">
        <w:rPr>
          <w:rFonts w:cs="Arial"/>
          <w:lang w:val="fr-FR"/>
        </w:rPr>
        <w:t>aide personnelle, aux services et équipements</w:t>
      </w:r>
      <w:r w:rsidRPr="00A86354">
        <w:rPr>
          <w:rFonts w:cs="Arial"/>
          <w:lang w:val="fr-FR"/>
        </w:rPr>
        <w:t xml:space="preserve">, </w:t>
      </w:r>
      <w:r w:rsidRPr="00A86354" w:rsidR="00454776">
        <w:rPr>
          <w:rFonts w:cs="Arial"/>
          <w:lang w:val="fr-FR"/>
        </w:rPr>
        <w:t xml:space="preserve">notamment à </w:t>
      </w:r>
      <w:r w:rsidRPr="00A86354" w:rsidR="009307A7">
        <w:rPr>
          <w:rFonts w:cs="Arial"/>
          <w:lang w:val="fr-FR"/>
        </w:rPr>
        <w:t>ceux qui sont destinés à intégrer les enfants handicapés dans les écoles ordinaires</w:t>
      </w:r>
      <w:r w:rsidRPr="00A86354" w:rsidR="00454776">
        <w:rPr>
          <w:rFonts w:cs="Arial"/>
          <w:lang w:val="fr-FR"/>
        </w:rPr>
        <w:t>,</w:t>
      </w:r>
      <w:r w:rsidRPr="00A86354" w:rsidR="00CF1AB9">
        <w:rPr>
          <w:rFonts w:cs="Arial"/>
          <w:lang w:val="fr-FR"/>
        </w:rPr>
        <w:t xml:space="preserve"> </w:t>
      </w:r>
      <w:r w:rsidRPr="00A86354" w:rsidR="00E03D7A">
        <w:rPr>
          <w:rFonts w:cs="Arial"/>
          <w:lang w:val="fr-FR"/>
        </w:rPr>
        <w:t>la France</w:t>
      </w:r>
      <w:r w:rsidRPr="00A86354" w:rsidR="00454776">
        <w:rPr>
          <w:rFonts w:cs="Arial"/>
          <w:lang w:val="fr-FR"/>
        </w:rPr>
        <w:t xml:space="preserve"> ne respecte pas le droit des personnes handicapées à</w:t>
      </w:r>
      <w:r w:rsidRPr="00A86354" w:rsidR="00A55580">
        <w:rPr>
          <w:rFonts w:cs="Arial"/>
          <w:lang w:val="fr-FR"/>
        </w:rPr>
        <w:t xml:space="preserve"> l</w:t>
      </w:r>
      <w:r w:rsidRPr="00A86354" w:rsidR="0006032C">
        <w:rPr>
          <w:rFonts w:cs="Arial"/>
          <w:lang w:val="fr-FR"/>
        </w:rPr>
        <w:t>’</w:t>
      </w:r>
      <w:r w:rsidRPr="00A86354" w:rsidR="00A55580">
        <w:rPr>
          <w:rFonts w:cs="Arial"/>
          <w:lang w:val="fr-FR"/>
        </w:rPr>
        <w:t>autonomie, à l</w:t>
      </w:r>
      <w:r w:rsidRPr="00A86354" w:rsidR="0006032C">
        <w:rPr>
          <w:rFonts w:cs="Arial"/>
          <w:lang w:val="fr-FR"/>
        </w:rPr>
        <w:t>’</w:t>
      </w:r>
      <w:r w:rsidRPr="00A86354" w:rsidR="00A55580">
        <w:rPr>
          <w:rFonts w:cs="Arial"/>
          <w:lang w:val="fr-FR"/>
        </w:rPr>
        <w:t>intégration sociale et à la pleine participation à la vie de la communauté</w:t>
      </w:r>
      <w:r w:rsidRPr="00A86354" w:rsidR="004E7DBE">
        <w:rPr>
          <w:rFonts w:cs="Arial"/>
          <w:lang w:val="fr-FR"/>
        </w:rPr>
        <w:t xml:space="preserve">, en </w:t>
      </w:r>
      <w:r w:rsidRPr="00A86354" w:rsidR="008A4B2C">
        <w:rPr>
          <w:rFonts w:cs="Arial"/>
          <w:lang w:val="fr-FR"/>
        </w:rPr>
        <w:t xml:space="preserve">violation </w:t>
      </w:r>
      <w:r w:rsidRPr="00A86354" w:rsidR="004E7DBE">
        <w:rPr>
          <w:rFonts w:cs="Arial"/>
          <w:lang w:val="fr-FR"/>
        </w:rPr>
        <w:t>de l</w:t>
      </w:r>
      <w:r w:rsidRPr="00A86354" w:rsidR="0006032C">
        <w:rPr>
          <w:rFonts w:cs="Arial"/>
          <w:lang w:val="fr-FR"/>
        </w:rPr>
        <w:t>’</w:t>
      </w:r>
      <w:r w:rsidRPr="00A86354" w:rsidR="004E7DBE">
        <w:rPr>
          <w:rFonts w:cs="Arial"/>
          <w:lang w:val="fr-FR"/>
        </w:rPr>
        <w:t>a</w:t>
      </w:r>
      <w:r w:rsidRPr="00A86354" w:rsidR="008A4B2C">
        <w:rPr>
          <w:rFonts w:cs="Arial"/>
          <w:lang w:val="fr-FR"/>
        </w:rPr>
        <w:t xml:space="preserve">rticle 15§3 </w:t>
      </w:r>
      <w:r w:rsidRPr="00A86354" w:rsidR="004E7DBE">
        <w:rPr>
          <w:rFonts w:cs="Arial"/>
          <w:lang w:val="fr-FR"/>
        </w:rPr>
        <w:t>de la Charte</w:t>
      </w:r>
      <w:r w:rsidRPr="00A86354" w:rsidR="008A4B2C">
        <w:rPr>
          <w:rFonts w:cs="Arial"/>
          <w:lang w:val="fr-FR"/>
        </w:rPr>
        <w:t xml:space="preserve">. </w:t>
      </w:r>
      <w:r w:rsidRPr="00A86354" w:rsidR="00451AB5">
        <w:rPr>
          <w:rFonts w:cs="Arial"/>
          <w:lang w:val="fr-FR"/>
        </w:rPr>
        <w:t xml:space="preserve">Selon les organisations réclamantes, cette situation empêche également la jouissance effective par les personnes handicapées du droit de bénéficier des services de protection sociale (article 14§1), du droit à la protection contre la pauvreté et l'exclusion sociale (article 30), du droit au logement (article 31§1 et 3) et du droit à la protection de la santé (article 11§1). </w:t>
      </w:r>
    </w:p>
    <w:p w:rsidRPr="00A86354" w:rsidR="002A3BD6" w:rsidP="002A3BD6" w:rsidRDefault="002A3BD6" w14:paraId="7B81DF53" w14:textId="77777777">
      <w:pPr>
        <w:pStyle w:val="ListParagraph"/>
        <w:rPr>
          <w:rFonts w:cs="Arial"/>
          <w:lang w:val="fr-FR"/>
        </w:rPr>
      </w:pPr>
    </w:p>
    <w:p w:rsidRPr="00A86354" w:rsidR="00896040" w:rsidP="00CE016A" w:rsidRDefault="00E03D7A" w14:paraId="5C32374D" w14:textId="64CDAC16">
      <w:pPr>
        <w:pStyle w:val="ListParagraph"/>
        <w:numPr>
          <w:ilvl w:val="0"/>
          <w:numId w:val="1"/>
        </w:numPr>
        <w:ind w:left="0" w:firstLine="0"/>
        <w:rPr>
          <w:rFonts w:cs="Arial"/>
          <w:lang w:val="fr-FR"/>
        </w:rPr>
      </w:pPr>
      <w:r w:rsidRPr="00A86354">
        <w:rPr>
          <w:rFonts w:cs="Arial"/>
          <w:lang w:val="fr-FR"/>
        </w:rPr>
        <w:t>En outre</w:t>
      </w:r>
      <w:r w:rsidRPr="00A86354" w:rsidR="00896040">
        <w:rPr>
          <w:rFonts w:cs="Arial"/>
          <w:lang w:val="fr-FR"/>
        </w:rPr>
        <w:t>,</w:t>
      </w:r>
      <w:r w:rsidRPr="00A86354" w:rsidR="008A4B2C">
        <w:rPr>
          <w:rFonts w:cs="Arial"/>
          <w:lang w:val="fr-FR"/>
        </w:rPr>
        <w:t xml:space="preserve"> </w:t>
      </w:r>
      <w:r w:rsidRPr="00A86354">
        <w:rPr>
          <w:rFonts w:cs="Arial"/>
          <w:lang w:val="fr-FR"/>
        </w:rPr>
        <w:t xml:space="preserve">EDF et Inclusion Europe allèguent, qu’ </w:t>
      </w:r>
      <w:r w:rsidRPr="00A86354" w:rsidR="00896040">
        <w:rPr>
          <w:rFonts w:cs="Arial"/>
          <w:lang w:val="fr-FR"/>
        </w:rPr>
        <w:t>en l</w:t>
      </w:r>
      <w:r w:rsidRPr="00A86354" w:rsidR="0006032C">
        <w:rPr>
          <w:rFonts w:cs="Arial"/>
          <w:lang w:val="fr-FR"/>
        </w:rPr>
        <w:t>’</w:t>
      </w:r>
      <w:r w:rsidRPr="00A86354" w:rsidR="008A4B2C">
        <w:rPr>
          <w:rFonts w:cs="Arial"/>
          <w:lang w:val="fr-FR"/>
        </w:rPr>
        <w:t xml:space="preserve">absence </w:t>
      </w:r>
      <w:r w:rsidRPr="00A86354" w:rsidR="00896040">
        <w:rPr>
          <w:rFonts w:cs="Arial"/>
          <w:lang w:val="fr-FR"/>
        </w:rPr>
        <w:t>d</w:t>
      </w:r>
      <w:r w:rsidRPr="00A86354" w:rsidR="0006032C">
        <w:rPr>
          <w:rFonts w:cs="Arial"/>
          <w:lang w:val="fr-FR"/>
        </w:rPr>
        <w:t>’</w:t>
      </w:r>
      <w:r w:rsidRPr="00A86354" w:rsidR="008A4B2C">
        <w:rPr>
          <w:rFonts w:cs="Arial"/>
          <w:lang w:val="fr-FR"/>
        </w:rPr>
        <w:t>acc</w:t>
      </w:r>
      <w:r w:rsidRPr="00A86354" w:rsidR="00896040">
        <w:rPr>
          <w:rFonts w:cs="Arial"/>
          <w:lang w:val="fr-FR"/>
        </w:rPr>
        <w:t xml:space="preserve">ès effectif des personnes handicapées à une vie autonome dans la société, de nombreuses familles sont placées dans un état de fragilité, en violation de leur droit à </w:t>
      </w:r>
      <w:r w:rsidRPr="00A86354" w:rsidR="0028752F">
        <w:rPr>
          <w:rFonts w:cs="Arial"/>
          <w:lang w:val="fr-FR"/>
        </w:rPr>
        <w:t>une</w:t>
      </w:r>
      <w:r w:rsidRPr="00A86354" w:rsidR="00896040">
        <w:rPr>
          <w:rFonts w:cs="Arial"/>
          <w:lang w:val="fr-FR"/>
        </w:rPr>
        <w:t xml:space="preserve"> protection sociale, juridique et économique (article 16 de la Charte)</w:t>
      </w:r>
      <w:r w:rsidRPr="00A86354" w:rsidR="0028752F">
        <w:rPr>
          <w:rFonts w:cs="Arial"/>
          <w:lang w:val="fr-FR"/>
        </w:rPr>
        <w:t xml:space="preserve"> et du droit des</w:t>
      </w:r>
      <w:r w:rsidRPr="00A86354" w:rsidR="00A55580">
        <w:rPr>
          <w:rFonts w:cs="Arial"/>
          <w:lang w:val="fr-FR"/>
        </w:rPr>
        <w:t xml:space="preserve"> </w:t>
      </w:r>
      <w:r w:rsidRPr="00A86354" w:rsidR="0028752F">
        <w:rPr>
          <w:rFonts w:cs="Arial"/>
          <w:lang w:val="fr-FR"/>
        </w:rPr>
        <w:t>travailleurs ayant des responsabilités familiales (à savoir ceux qui assurent l</w:t>
      </w:r>
      <w:r w:rsidRPr="00A86354" w:rsidR="0006032C">
        <w:rPr>
          <w:rFonts w:cs="Arial"/>
          <w:lang w:val="fr-FR"/>
        </w:rPr>
        <w:t>’</w:t>
      </w:r>
      <w:r w:rsidRPr="00A86354" w:rsidR="0028752F">
        <w:rPr>
          <w:rFonts w:cs="Arial"/>
          <w:lang w:val="fr-FR"/>
        </w:rPr>
        <w:t>accompagnement d</w:t>
      </w:r>
      <w:r w:rsidRPr="00A86354" w:rsidR="0006032C">
        <w:rPr>
          <w:rFonts w:cs="Arial"/>
          <w:lang w:val="fr-FR"/>
        </w:rPr>
        <w:t>’</w:t>
      </w:r>
      <w:r w:rsidRPr="00A86354" w:rsidR="0028752F">
        <w:rPr>
          <w:rFonts w:cs="Arial"/>
          <w:lang w:val="fr-FR"/>
        </w:rPr>
        <w:t>un ou de plusieurs membre(s) de la famille handicapé(s)) à l</w:t>
      </w:r>
      <w:r w:rsidRPr="00A86354" w:rsidR="0006032C">
        <w:rPr>
          <w:rFonts w:cs="Arial"/>
          <w:lang w:val="fr-FR"/>
        </w:rPr>
        <w:t>’</w:t>
      </w:r>
      <w:r w:rsidRPr="00A86354" w:rsidR="0028752F">
        <w:rPr>
          <w:rFonts w:cs="Arial"/>
          <w:lang w:val="fr-FR"/>
        </w:rPr>
        <w:t>égalité des chances et à l</w:t>
      </w:r>
      <w:r w:rsidRPr="00A86354" w:rsidR="0006032C">
        <w:rPr>
          <w:rFonts w:cs="Arial"/>
          <w:lang w:val="fr-FR"/>
        </w:rPr>
        <w:t>’</w:t>
      </w:r>
      <w:r w:rsidRPr="00A86354" w:rsidR="0028752F">
        <w:rPr>
          <w:rFonts w:cs="Arial"/>
          <w:lang w:val="fr-FR"/>
        </w:rPr>
        <w:t xml:space="preserve">égalité de traitement (article 27§1). </w:t>
      </w:r>
      <w:r w:rsidRPr="00A86354" w:rsidR="00451AB5">
        <w:rPr>
          <w:rFonts w:cs="Arial"/>
          <w:lang w:val="fr-FR"/>
        </w:rPr>
        <w:t xml:space="preserve">Enfin, les organisations réclamantes allèguent également que le manque d'accès effectif des personnes handicapées à une vie indépendante au sein de la communauté constitue une discrimination en violation de l'article E de la Charte, en combinaison avec chacun des articles de fond qu'elles invoquent, à l'exception de l'article 30. </w:t>
      </w:r>
    </w:p>
    <w:p w:rsidRPr="00A86354" w:rsidR="003C2933" w:rsidP="003C2933" w:rsidRDefault="003C2933" w14:paraId="57108B35" w14:textId="77777777">
      <w:pPr>
        <w:pStyle w:val="ListParagraph"/>
        <w:ind w:left="360"/>
        <w:rPr>
          <w:rFonts w:cs="Arial"/>
          <w:lang w:val="fr-FR"/>
        </w:rPr>
      </w:pPr>
    </w:p>
    <w:p w:rsidRPr="00A86354" w:rsidR="00224CB8" w:rsidP="00CE016A" w:rsidRDefault="003C2933" w14:paraId="73CE2E77" w14:textId="20CA90F1">
      <w:pPr>
        <w:pStyle w:val="ListParagraph"/>
        <w:numPr>
          <w:ilvl w:val="0"/>
          <w:numId w:val="1"/>
        </w:numPr>
        <w:ind w:left="0" w:firstLine="0"/>
        <w:rPr>
          <w:rFonts w:cs="Arial"/>
          <w:lang w:val="fr-FR"/>
        </w:rPr>
      </w:pPr>
      <w:r w:rsidRPr="00A86354">
        <w:rPr>
          <w:rFonts w:cs="Arial"/>
          <w:lang w:val="fr-FR"/>
        </w:rPr>
        <w:t xml:space="preserve">EDF </w:t>
      </w:r>
      <w:r w:rsidRPr="00A86354" w:rsidR="0028752F">
        <w:rPr>
          <w:rFonts w:cs="Arial"/>
          <w:lang w:val="fr-FR"/>
        </w:rPr>
        <w:t>et</w:t>
      </w:r>
      <w:r w:rsidRPr="00A86354">
        <w:rPr>
          <w:rFonts w:cs="Arial"/>
          <w:lang w:val="fr-FR"/>
        </w:rPr>
        <w:t xml:space="preserve"> Inclusion Europe </w:t>
      </w:r>
      <w:r w:rsidRPr="00A86354" w:rsidR="0028752F">
        <w:rPr>
          <w:rFonts w:cs="Arial"/>
          <w:lang w:val="fr-FR"/>
        </w:rPr>
        <w:t>dem</w:t>
      </w:r>
      <w:r w:rsidRPr="00A86354" w:rsidR="00B81268">
        <w:rPr>
          <w:rFonts w:cs="Arial"/>
          <w:lang w:val="fr-FR"/>
        </w:rPr>
        <w:t>andent par conséquent au Comité</w:t>
      </w:r>
      <w:r w:rsidRPr="00A86354" w:rsidR="008A4B2C">
        <w:rPr>
          <w:rFonts w:cs="Arial"/>
          <w:lang w:val="fr-FR"/>
        </w:rPr>
        <w:t xml:space="preserve"> </w:t>
      </w:r>
      <w:r w:rsidRPr="00A86354" w:rsidR="00B81268">
        <w:rPr>
          <w:rFonts w:cs="Arial"/>
          <w:lang w:val="fr-FR"/>
        </w:rPr>
        <w:t>de conclure à la</w:t>
      </w:r>
      <w:r w:rsidRPr="00A86354" w:rsidR="008A4B2C">
        <w:rPr>
          <w:rFonts w:cs="Arial"/>
          <w:lang w:val="fr-FR"/>
        </w:rPr>
        <w:t xml:space="preserve"> violation </w:t>
      </w:r>
      <w:r w:rsidRPr="00A86354" w:rsidR="00B81268">
        <w:rPr>
          <w:rFonts w:cs="Arial"/>
          <w:lang w:val="fr-FR"/>
        </w:rPr>
        <w:t>des a</w:t>
      </w:r>
      <w:r w:rsidRPr="00A86354" w:rsidR="008A4B2C">
        <w:rPr>
          <w:rFonts w:cs="Arial"/>
          <w:lang w:val="fr-FR"/>
        </w:rPr>
        <w:t>rticle</w:t>
      </w:r>
      <w:r w:rsidRPr="00A86354">
        <w:rPr>
          <w:rFonts w:cs="Arial"/>
          <w:lang w:val="fr-FR"/>
        </w:rPr>
        <w:t>s</w:t>
      </w:r>
      <w:r w:rsidRPr="00A86354" w:rsidR="008A4B2C">
        <w:rPr>
          <w:rFonts w:cs="Arial"/>
          <w:lang w:val="fr-FR"/>
        </w:rPr>
        <w:t xml:space="preserve"> 15§3, 14§1,</w:t>
      </w:r>
      <w:r w:rsidRPr="00A86354" w:rsidR="00C80F73">
        <w:rPr>
          <w:rFonts w:cs="Arial"/>
          <w:lang w:val="fr-FR"/>
        </w:rPr>
        <w:t xml:space="preserve"> 11§1,</w:t>
      </w:r>
      <w:r w:rsidRPr="00A86354" w:rsidR="008A4B2C">
        <w:rPr>
          <w:rFonts w:cs="Arial"/>
          <w:lang w:val="fr-FR"/>
        </w:rPr>
        <w:t xml:space="preserve"> 31§</w:t>
      </w:r>
      <w:r w:rsidRPr="00A86354" w:rsidR="00836719">
        <w:rPr>
          <w:rFonts w:cs="Arial"/>
          <w:lang w:val="fr-FR"/>
        </w:rPr>
        <w:t>§</w:t>
      </w:r>
      <w:r w:rsidRPr="00A86354" w:rsidR="008A4B2C">
        <w:rPr>
          <w:rFonts w:cs="Arial"/>
          <w:lang w:val="fr-FR"/>
        </w:rPr>
        <w:t xml:space="preserve">1 </w:t>
      </w:r>
      <w:r w:rsidRPr="00A86354" w:rsidR="00B81268">
        <w:rPr>
          <w:rFonts w:cs="Arial"/>
          <w:lang w:val="fr-FR"/>
        </w:rPr>
        <w:t>et</w:t>
      </w:r>
      <w:r w:rsidRPr="00A86354" w:rsidR="008A4B2C">
        <w:rPr>
          <w:rFonts w:cs="Arial"/>
          <w:lang w:val="fr-FR"/>
        </w:rPr>
        <w:t xml:space="preserve"> 3, 16 </w:t>
      </w:r>
      <w:r w:rsidRPr="00A86354" w:rsidR="00B81268">
        <w:rPr>
          <w:rFonts w:cs="Arial"/>
          <w:lang w:val="fr-FR"/>
        </w:rPr>
        <w:t>et</w:t>
      </w:r>
      <w:r w:rsidRPr="00A86354" w:rsidR="008A4B2C">
        <w:rPr>
          <w:rFonts w:cs="Arial"/>
          <w:lang w:val="fr-FR"/>
        </w:rPr>
        <w:t xml:space="preserve"> 27§1</w:t>
      </w:r>
      <w:r w:rsidRPr="00A86354" w:rsidR="00FA45B9">
        <w:rPr>
          <w:rFonts w:cs="Arial"/>
          <w:lang w:val="fr-FR"/>
        </w:rPr>
        <w:t>,</w:t>
      </w:r>
      <w:r w:rsidRPr="00A86354" w:rsidR="008A4B2C">
        <w:rPr>
          <w:rFonts w:cs="Arial"/>
          <w:lang w:val="fr-FR"/>
        </w:rPr>
        <w:t xml:space="preserve"> </w:t>
      </w:r>
      <w:r w:rsidRPr="00A86354" w:rsidR="00B81268">
        <w:rPr>
          <w:rFonts w:cs="Arial"/>
          <w:lang w:val="fr-FR"/>
        </w:rPr>
        <w:t>lus seuls ou en combinaison avec l</w:t>
      </w:r>
      <w:r w:rsidRPr="00A86354" w:rsidR="0006032C">
        <w:rPr>
          <w:rFonts w:cs="Arial"/>
          <w:lang w:val="fr-FR"/>
        </w:rPr>
        <w:t>’</w:t>
      </w:r>
      <w:r w:rsidRPr="00A86354" w:rsidR="00B81268">
        <w:rPr>
          <w:rFonts w:cs="Arial"/>
          <w:lang w:val="fr-FR"/>
        </w:rPr>
        <w:t>a</w:t>
      </w:r>
      <w:r w:rsidRPr="00A86354" w:rsidR="008A4B2C">
        <w:rPr>
          <w:rFonts w:cs="Arial"/>
          <w:lang w:val="fr-FR"/>
        </w:rPr>
        <w:t>rticle E</w:t>
      </w:r>
      <w:r w:rsidRPr="00A86354" w:rsidR="00836719">
        <w:rPr>
          <w:rFonts w:cs="Arial"/>
          <w:lang w:val="fr-FR"/>
        </w:rPr>
        <w:t>,</w:t>
      </w:r>
      <w:r w:rsidRPr="00A86354" w:rsidR="00C80F73">
        <w:rPr>
          <w:rFonts w:cs="Arial"/>
          <w:lang w:val="fr-FR"/>
        </w:rPr>
        <w:t xml:space="preserve"> </w:t>
      </w:r>
      <w:r w:rsidRPr="00A86354" w:rsidR="00B81268">
        <w:rPr>
          <w:rFonts w:cs="Arial"/>
          <w:lang w:val="fr-FR"/>
        </w:rPr>
        <w:t>ainsi que de l</w:t>
      </w:r>
      <w:r w:rsidRPr="00A86354" w:rsidR="0006032C">
        <w:rPr>
          <w:rFonts w:cs="Arial"/>
          <w:lang w:val="fr-FR"/>
        </w:rPr>
        <w:t>’</w:t>
      </w:r>
      <w:r w:rsidRPr="00A86354" w:rsidR="00B81268">
        <w:rPr>
          <w:rFonts w:cs="Arial"/>
          <w:lang w:val="fr-FR"/>
        </w:rPr>
        <w:t>a</w:t>
      </w:r>
      <w:r w:rsidRPr="00A86354" w:rsidR="008A4B2C">
        <w:rPr>
          <w:rFonts w:cs="Arial"/>
          <w:lang w:val="fr-FR"/>
        </w:rPr>
        <w:t xml:space="preserve">rticle 30 </w:t>
      </w:r>
      <w:r w:rsidRPr="00A86354" w:rsidR="00B81268">
        <w:rPr>
          <w:rFonts w:cs="Arial"/>
          <w:lang w:val="fr-FR"/>
        </w:rPr>
        <w:t>de la</w:t>
      </w:r>
      <w:r w:rsidRPr="00A86354" w:rsidR="008A4B2C">
        <w:rPr>
          <w:rFonts w:cs="Arial"/>
          <w:lang w:val="fr-FR"/>
        </w:rPr>
        <w:t xml:space="preserve"> Charte.   </w:t>
      </w:r>
    </w:p>
    <w:p w:rsidRPr="00A86354" w:rsidR="00224CB8" w:rsidP="00224CB8" w:rsidRDefault="00224CB8" w14:paraId="7B96C362" w14:textId="5A1F30B7">
      <w:pPr>
        <w:pStyle w:val="ListParagraph"/>
        <w:rPr>
          <w:rFonts w:cs="Arial"/>
          <w:lang w:val="fr-FR"/>
        </w:rPr>
      </w:pPr>
    </w:p>
    <w:p w:rsidRPr="00A86354" w:rsidR="008E33EA" w:rsidP="008E33EA" w:rsidRDefault="008E33EA" w14:paraId="5A317EBD" w14:textId="49103185">
      <w:pPr>
        <w:tabs>
          <w:tab w:val="left" w:pos="709"/>
        </w:tabs>
        <w:outlineLvl w:val="0"/>
        <w:rPr>
          <w:rFonts w:ascii="Arial" w:hAnsi="Arial" w:eastAsia="Calibri" w:cs="Arial"/>
          <w:b/>
          <w:lang w:val="fr-FR"/>
        </w:rPr>
      </w:pPr>
      <w:r w:rsidRPr="00A86354">
        <w:rPr>
          <w:rFonts w:ascii="Arial" w:hAnsi="Arial" w:eastAsia="Calibri" w:cs="Arial"/>
          <w:b/>
          <w:lang w:val="fr-FR"/>
        </w:rPr>
        <w:t xml:space="preserve">B – </w:t>
      </w:r>
      <w:r w:rsidRPr="00A86354" w:rsidR="00B81268">
        <w:rPr>
          <w:rFonts w:ascii="Arial" w:hAnsi="Arial" w:eastAsia="Calibri" w:cs="Arial"/>
          <w:b/>
          <w:lang w:val="fr-FR"/>
        </w:rPr>
        <w:t xml:space="preserve">Le </w:t>
      </w:r>
      <w:r w:rsidRPr="00A86354" w:rsidR="00AE34AC">
        <w:rPr>
          <w:rFonts w:ascii="Arial" w:hAnsi="Arial" w:eastAsia="Calibri" w:cs="Arial"/>
          <w:b/>
          <w:lang w:val="fr-FR"/>
        </w:rPr>
        <w:t>Gouvernement</w:t>
      </w:r>
      <w:r w:rsidRPr="00A86354" w:rsidR="00B81268">
        <w:rPr>
          <w:rFonts w:ascii="Arial" w:hAnsi="Arial" w:eastAsia="Calibri" w:cs="Arial"/>
          <w:b/>
          <w:lang w:val="fr-FR"/>
        </w:rPr>
        <w:t xml:space="preserve"> défendeur</w:t>
      </w:r>
    </w:p>
    <w:p w:rsidRPr="00A86354" w:rsidR="008E33EA" w:rsidP="00224CB8" w:rsidRDefault="008E33EA" w14:paraId="39313787" w14:textId="77777777">
      <w:pPr>
        <w:pStyle w:val="ListParagraph"/>
        <w:rPr>
          <w:rFonts w:cs="Arial"/>
          <w:lang w:val="fr-FR"/>
        </w:rPr>
      </w:pPr>
    </w:p>
    <w:p w:rsidRPr="00A86354" w:rsidR="002300C2" w:rsidP="00CE016A" w:rsidRDefault="00B81268" w14:paraId="587E5292" w14:textId="0E07AD66">
      <w:pPr>
        <w:pStyle w:val="ListParagraph"/>
        <w:numPr>
          <w:ilvl w:val="0"/>
          <w:numId w:val="1"/>
        </w:numPr>
        <w:ind w:left="0" w:firstLine="0"/>
        <w:rPr>
          <w:rFonts w:cs="Arial"/>
          <w:lang w:val="fr-FR"/>
        </w:rPr>
      </w:pPr>
      <w:r w:rsidRPr="00A86354">
        <w:rPr>
          <w:rFonts w:cs="Arial"/>
          <w:lang w:val="fr-FR"/>
        </w:rPr>
        <w:t>L</w:t>
      </w:r>
      <w:r w:rsidRPr="00A86354" w:rsidR="008E33EA">
        <w:rPr>
          <w:rFonts w:cs="Arial"/>
          <w:lang w:val="fr-FR"/>
        </w:rPr>
        <w:t xml:space="preserve">e </w:t>
      </w:r>
      <w:r w:rsidRPr="00A86354" w:rsidR="00AE34AC">
        <w:rPr>
          <w:rFonts w:cs="Arial"/>
          <w:lang w:val="fr-FR"/>
        </w:rPr>
        <w:t>Gouvernement</w:t>
      </w:r>
      <w:r w:rsidRPr="00A86354" w:rsidR="008E33EA">
        <w:rPr>
          <w:rFonts w:cs="Arial"/>
          <w:lang w:val="fr-FR"/>
        </w:rPr>
        <w:t xml:space="preserve"> </w:t>
      </w:r>
      <w:r w:rsidRPr="00A86354">
        <w:rPr>
          <w:rFonts w:cs="Arial"/>
          <w:lang w:val="fr-FR"/>
        </w:rPr>
        <w:t>soutient que</w:t>
      </w:r>
      <w:r w:rsidRPr="00A86354" w:rsidR="00325721">
        <w:rPr>
          <w:rFonts w:cs="Arial"/>
          <w:lang w:val="fr-FR"/>
        </w:rPr>
        <w:t xml:space="preserve"> </w:t>
      </w:r>
      <w:r w:rsidRPr="00A86354" w:rsidR="003F0C2E">
        <w:rPr>
          <w:rFonts w:cs="Arial"/>
          <w:lang w:val="fr-FR"/>
        </w:rPr>
        <w:t xml:space="preserve">les </w:t>
      </w:r>
      <w:r w:rsidRPr="00A86354" w:rsidR="00325721">
        <w:rPr>
          <w:rFonts w:cs="Arial"/>
          <w:lang w:val="fr-FR"/>
        </w:rPr>
        <w:t>mesures</w:t>
      </w:r>
      <w:r w:rsidRPr="00A86354" w:rsidR="002300C2">
        <w:rPr>
          <w:rFonts w:cs="Arial"/>
          <w:lang w:val="fr-FR"/>
        </w:rPr>
        <w:t xml:space="preserve"> </w:t>
      </w:r>
      <w:r w:rsidRPr="00A86354" w:rsidR="003F0C2E">
        <w:rPr>
          <w:rFonts w:cs="Arial"/>
          <w:lang w:val="fr-FR"/>
        </w:rPr>
        <w:t xml:space="preserve">prises dans le cadre de la politique globale du </w:t>
      </w:r>
      <w:r w:rsidRPr="00A86354" w:rsidR="00AE34AC">
        <w:rPr>
          <w:rFonts w:cs="Arial"/>
          <w:lang w:val="fr-FR"/>
        </w:rPr>
        <w:t>Gouvernement</w:t>
      </w:r>
      <w:r w:rsidRPr="00A86354" w:rsidR="003F0C2E">
        <w:rPr>
          <w:rFonts w:cs="Arial"/>
          <w:lang w:val="fr-FR"/>
        </w:rPr>
        <w:t xml:space="preserve"> en matière de handicap notamment exposée lors de la Conférence nationale du handicap </w:t>
      </w:r>
      <w:r w:rsidRPr="00A86354" w:rsidR="002300C2">
        <w:rPr>
          <w:rFonts w:cs="Arial"/>
          <w:lang w:val="fr-FR"/>
        </w:rPr>
        <w:t>2020</w:t>
      </w:r>
      <w:r w:rsidRPr="00A86354" w:rsidR="00325721">
        <w:rPr>
          <w:rFonts w:cs="Arial"/>
          <w:lang w:val="fr-FR"/>
        </w:rPr>
        <w:t xml:space="preserve"> </w:t>
      </w:r>
      <w:r w:rsidRPr="00A86354" w:rsidR="003F0C2E">
        <w:rPr>
          <w:rFonts w:cs="Arial"/>
          <w:lang w:val="fr-FR"/>
        </w:rPr>
        <w:t xml:space="preserve">ont été mises en place de manière coordonnée pour veiller à ce que les personnes handicapées jouissent des droits qui leur sont garantis par la Charte. </w:t>
      </w:r>
      <w:r w:rsidRPr="00A86354" w:rsidR="00836719">
        <w:rPr>
          <w:rFonts w:cs="Arial"/>
          <w:lang w:val="fr-FR"/>
        </w:rPr>
        <w:t>Il</w:t>
      </w:r>
      <w:r w:rsidRPr="00A86354" w:rsidR="003F0C2E">
        <w:rPr>
          <w:rFonts w:cs="Arial"/>
          <w:lang w:val="fr-FR"/>
        </w:rPr>
        <w:t xml:space="preserve"> cite notamment différentes mesures prises ou envisagées pour permettre aux personnes handicapées de choisir leur lieu de </w:t>
      </w:r>
      <w:r w:rsidRPr="00A86354" w:rsidR="00354EA5">
        <w:rPr>
          <w:rFonts w:cs="Arial"/>
          <w:lang w:val="fr-FR"/>
        </w:rPr>
        <w:t>vie</w:t>
      </w:r>
      <w:r w:rsidRPr="00A86354" w:rsidR="003F0C2E">
        <w:rPr>
          <w:rFonts w:cs="Arial"/>
          <w:lang w:val="fr-FR"/>
        </w:rPr>
        <w:t>, pour garantir l</w:t>
      </w:r>
      <w:r w:rsidRPr="00A86354" w:rsidR="0006032C">
        <w:rPr>
          <w:rFonts w:cs="Arial"/>
          <w:lang w:val="fr-FR"/>
        </w:rPr>
        <w:t>’</w:t>
      </w:r>
      <w:r w:rsidRPr="00A86354" w:rsidR="003F0C2E">
        <w:rPr>
          <w:rFonts w:cs="Arial"/>
          <w:lang w:val="fr-FR"/>
        </w:rPr>
        <w:t xml:space="preserve">accessibilité des transports publics et des bâtiments publics et pour surmonter les obstacles à la communication et à la mobilité. En outre, </w:t>
      </w:r>
      <w:r w:rsidRPr="00A86354" w:rsidR="005F7BC4">
        <w:rPr>
          <w:rFonts w:cs="Arial"/>
          <w:lang w:val="fr-FR"/>
        </w:rPr>
        <w:t>le Gouvernement</w:t>
      </w:r>
      <w:r w:rsidRPr="00A86354" w:rsidR="003F0C2E">
        <w:rPr>
          <w:rFonts w:cs="Arial"/>
          <w:lang w:val="fr-FR"/>
        </w:rPr>
        <w:t xml:space="preserve"> souligne les mesures prises pour garantir l</w:t>
      </w:r>
      <w:r w:rsidRPr="00A86354" w:rsidR="0006032C">
        <w:rPr>
          <w:rFonts w:cs="Arial"/>
          <w:lang w:val="fr-FR"/>
        </w:rPr>
        <w:t>’</w:t>
      </w:r>
      <w:r w:rsidRPr="00A86354" w:rsidR="003F0C2E">
        <w:rPr>
          <w:rFonts w:cs="Arial"/>
          <w:lang w:val="fr-FR"/>
        </w:rPr>
        <w:t xml:space="preserve">accès effectif des personnes handicapées aux soins de santé et aux services médico-sociaux, en </w:t>
      </w:r>
      <w:r w:rsidRPr="00A86354" w:rsidR="003F0C2E">
        <w:rPr>
          <w:rFonts w:cs="Arial"/>
          <w:lang w:val="fr-FR"/>
        </w:rPr>
        <w:lastRenderedPageBreak/>
        <w:t xml:space="preserve">particulier par le déploiement </w:t>
      </w:r>
      <w:r w:rsidRPr="00A86354" w:rsidR="00E90C80">
        <w:rPr>
          <w:rFonts w:cs="Arial"/>
          <w:lang w:val="fr-FR"/>
        </w:rPr>
        <w:t>de lieux adaptés sur l</w:t>
      </w:r>
      <w:r w:rsidRPr="00A86354" w:rsidR="0006032C">
        <w:rPr>
          <w:rFonts w:cs="Arial"/>
          <w:lang w:val="fr-FR"/>
        </w:rPr>
        <w:t>’</w:t>
      </w:r>
      <w:r w:rsidRPr="00A86354" w:rsidR="00E90C80">
        <w:rPr>
          <w:rFonts w:cs="Arial"/>
          <w:lang w:val="fr-FR"/>
        </w:rPr>
        <w:t>ensemble des territoires</w:t>
      </w:r>
      <w:r w:rsidRPr="00A86354" w:rsidR="003F0C2E">
        <w:rPr>
          <w:rFonts w:cs="Arial"/>
          <w:lang w:val="fr-FR"/>
        </w:rPr>
        <w:t xml:space="preserve">, et les mesures envisagées </w:t>
      </w:r>
      <w:r w:rsidRPr="00A86354" w:rsidR="005F7BC4">
        <w:rPr>
          <w:rFonts w:cs="Arial"/>
          <w:lang w:val="fr-FR"/>
        </w:rPr>
        <w:t>pour rendre plus efficace le soutien financier aux personnes handicapées</w:t>
      </w:r>
      <w:r w:rsidRPr="00A86354" w:rsidR="003F0C2E">
        <w:rPr>
          <w:rFonts w:cs="Arial"/>
          <w:lang w:val="fr-FR"/>
        </w:rPr>
        <w:t>.</w:t>
      </w:r>
    </w:p>
    <w:p w:rsidRPr="00A86354" w:rsidR="002300C2" w:rsidP="002300C2" w:rsidRDefault="002300C2" w14:paraId="0D289A7F" w14:textId="77777777">
      <w:pPr>
        <w:pStyle w:val="ListParagraph"/>
        <w:rPr>
          <w:rFonts w:cs="Arial"/>
          <w:lang w:val="fr-FR"/>
        </w:rPr>
      </w:pPr>
    </w:p>
    <w:p w:rsidRPr="00A86354" w:rsidR="009E3CAA" w:rsidP="00CE016A" w:rsidRDefault="00E90C80" w14:paraId="4DAA9F05" w14:textId="6A0EF560">
      <w:pPr>
        <w:pStyle w:val="ListParagraph"/>
        <w:numPr>
          <w:ilvl w:val="0"/>
          <w:numId w:val="1"/>
        </w:numPr>
        <w:ind w:left="0" w:firstLine="0"/>
        <w:rPr>
          <w:rFonts w:cs="Arial"/>
          <w:lang w:val="fr-FR"/>
        </w:rPr>
      </w:pPr>
      <w:r w:rsidRPr="00A86354">
        <w:rPr>
          <w:rFonts w:cs="Arial"/>
          <w:lang w:val="fr-FR"/>
        </w:rPr>
        <w:t>Concernant l</w:t>
      </w:r>
      <w:r w:rsidRPr="00A86354" w:rsidR="0006032C">
        <w:rPr>
          <w:rFonts w:cs="Arial"/>
          <w:lang w:val="fr-FR"/>
        </w:rPr>
        <w:t>’</w:t>
      </w:r>
      <w:r w:rsidRPr="00A86354" w:rsidR="002300C2">
        <w:rPr>
          <w:rFonts w:cs="Arial"/>
          <w:lang w:val="fr-FR"/>
        </w:rPr>
        <w:t>all</w:t>
      </w:r>
      <w:r w:rsidRPr="00A86354">
        <w:rPr>
          <w:rFonts w:cs="Arial"/>
          <w:lang w:val="fr-FR"/>
        </w:rPr>
        <w:t>é</w:t>
      </w:r>
      <w:r w:rsidRPr="00A86354" w:rsidR="002300C2">
        <w:rPr>
          <w:rFonts w:cs="Arial"/>
          <w:lang w:val="fr-FR"/>
        </w:rPr>
        <w:t>gation</w:t>
      </w:r>
      <w:r w:rsidRPr="00A86354">
        <w:rPr>
          <w:rFonts w:cs="Arial"/>
          <w:lang w:val="fr-FR"/>
        </w:rPr>
        <w:t xml:space="preserve"> selon laquelle l</w:t>
      </w:r>
      <w:r w:rsidRPr="00A86354" w:rsidR="0006032C">
        <w:rPr>
          <w:rFonts w:cs="Arial"/>
          <w:lang w:val="fr-FR"/>
        </w:rPr>
        <w:t>’</w:t>
      </w:r>
      <w:r w:rsidRPr="00A86354">
        <w:rPr>
          <w:rFonts w:cs="Arial"/>
          <w:lang w:val="fr-FR"/>
        </w:rPr>
        <w:t>absence d</w:t>
      </w:r>
      <w:r w:rsidRPr="00A86354" w:rsidR="0006032C">
        <w:rPr>
          <w:rFonts w:cs="Arial"/>
          <w:lang w:val="fr-FR"/>
        </w:rPr>
        <w:t>’</w:t>
      </w:r>
      <w:r w:rsidRPr="00A86354">
        <w:rPr>
          <w:rFonts w:cs="Arial"/>
          <w:lang w:val="fr-FR"/>
        </w:rPr>
        <w:t xml:space="preserve">accès effectif des personnes handicapées à une vie autonome dans la société </w:t>
      </w:r>
      <w:r w:rsidRPr="00A86354" w:rsidR="008532B8">
        <w:rPr>
          <w:rFonts w:cs="Arial"/>
          <w:lang w:val="fr-FR"/>
        </w:rPr>
        <w:t>entraîne</w:t>
      </w:r>
      <w:r w:rsidRPr="00A86354">
        <w:rPr>
          <w:rFonts w:cs="Arial"/>
          <w:lang w:val="fr-FR"/>
        </w:rPr>
        <w:t xml:space="preserve"> des conséquences négatives pour leurs familles, en violation des articles </w:t>
      </w:r>
      <w:r w:rsidRPr="00A86354" w:rsidR="00D91B87">
        <w:rPr>
          <w:rFonts w:cs="Arial"/>
          <w:lang w:val="fr-FR"/>
        </w:rPr>
        <w:t>16 et</w:t>
      </w:r>
      <w:r w:rsidRPr="00A86354">
        <w:rPr>
          <w:rFonts w:cs="Arial"/>
          <w:lang w:val="fr-FR"/>
        </w:rPr>
        <w:t xml:space="preserve"> 27 de la Charte, le </w:t>
      </w:r>
      <w:r w:rsidRPr="00A86354" w:rsidR="00AE34AC">
        <w:rPr>
          <w:rFonts w:cs="Arial"/>
          <w:lang w:val="fr-FR"/>
        </w:rPr>
        <w:t>Gouvernement</w:t>
      </w:r>
      <w:r w:rsidRPr="00A86354">
        <w:rPr>
          <w:rFonts w:cs="Arial"/>
          <w:lang w:val="fr-FR"/>
        </w:rPr>
        <w:t xml:space="preserve"> renvoie à plusieurs</w:t>
      </w:r>
      <w:r w:rsidRPr="00A86354" w:rsidR="002300C2">
        <w:rPr>
          <w:rFonts w:cs="Arial"/>
          <w:lang w:val="fr-FR"/>
        </w:rPr>
        <w:t xml:space="preserve"> initiatives </w:t>
      </w:r>
      <w:r w:rsidRPr="00A86354">
        <w:rPr>
          <w:rFonts w:cs="Arial"/>
          <w:lang w:val="fr-FR"/>
        </w:rPr>
        <w:t>et</w:t>
      </w:r>
      <w:r w:rsidRPr="00A86354" w:rsidR="002300C2">
        <w:rPr>
          <w:rFonts w:cs="Arial"/>
          <w:lang w:val="fr-FR"/>
        </w:rPr>
        <w:t xml:space="preserve"> mesures </w:t>
      </w:r>
      <w:r w:rsidRPr="00A86354">
        <w:rPr>
          <w:rFonts w:cs="Arial"/>
          <w:lang w:val="fr-FR"/>
        </w:rPr>
        <w:t>prises ou envisagées pour améliorer les conditions de travail des aidants</w:t>
      </w:r>
      <w:r w:rsidRPr="00A86354" w:rsidR="002300C2">
        <w:rPr>
          <w:rFonts w:cs="Arial"/>
          <w:lang w:val="fr-FR"/>
        </w:rPr>
        <w:t xml:space="preserve"> </w:t>
      </w:r>
      <w:r w:rsidRPr="00A86354">
        <w:rPr>
          <w:rFonts w:cs="Arial"/>
          <w:lang w:val="fr-FR"/>
        </w:rPr>
        <w:t>de personnes âgées et de personnes handicapées</w:t>
      </w:r>
      <w:r w:rsidRPr="00A86354" w:rsidR="002300C2">
        <w:rPr>
          <w:rFonts w:cs="Arial"/>
          <w:lang w:val="fr-FR"/>
        </w:rPr>
        <w:t xml:space="preserve">. </w:t>
      </w:r>
    </w:p>
    <w:p w:rsidRPr="00A86354" w:rsidR="009E3CAA" w:rsidP="009E3CAA" w:rsidRDefault="009E3CAA" w14:paraId="25A3552A" w14:textId="77777777">
      <w:pPr>
        <w:pStyle w:val="ListParagraph"/>
        <w:ind w:left="360"/>
        <w:rPr>
          <w:rFonts w:cs="Arial"/>
          <w:lang w:val="fr-FR"/>
        </w:rPr>
      </w:pPr>
    </w:p>
    <w:p w:rsidRPr="00A86354" w:rsidR="005F7BC4" w:rsidP="00CE016A" w:rsidRDefault="005F7BC4" w14:paraId="037B065F" w14:textId="414FB9BC">
      <w:pPr>
        <w:pStyle w:val="ListParagraph"/>
        <w:numPr>
          <w:ilvl w:val="0"/>
          <w:numId w:val="1"/>
        </w:numPr>
        <w:tabs>
          <w:tab w:val="left" w:pos="709"/>
        </w:tabs>
        <w:ind w:left="0" w:firstLine="0"/>
        <w:rPr>
          <w:rFonts w:cs="Arial"/>
          <w:lang w:val="fr-FR"/>
        </w:rPr>
      </w:pPr>
      <w:r w:rsidRPr="00A86354">
        <w:rPr>
          <w:rFonts w:cs="Arial"/>
          <w:lang w:val="fr-FR"/>
        </w:rPr>
        <w:t xml:space="preserve">Sur cette base, le Gouvernement a demandé au Comité de rejeter la réclamation comme étant infondée à tous égards.  </w:t>
      </w:r>
    </w:p>
    <w:p w:rsidRPr="00A86354" w:rsidR="00872BA4" w:rsidP="005F7BC4" w:rsidRDefault="00872BA4" w14:paraId="72225959" w14:textId="21B02149">
      <w:pPr>
        <w:pStyle w:val="ListParagraph"/>
        <w:rPr>
          <w:rFonts w:cs="Arial"/>
          <w:lang w:val="fr-FR"/>
        </w:rPr>
      </w:pPr>
    </w:p>
    <w:p w:rsidRPr="00A86354" w:rsidR="007A5E8E" w:rsidP="007A5E8E" w:rsidRDefault="007A5E8E" w14:paraId="68B302C7" w14:textId="77777777">
      <w:pPr>
        <w:tabs>
          <w:tab w:val="left" w:pos="709"/>
        </w:tabs>
        <w:rPr>
          <w:rFonts w:ascii="Arial" w:hAnsi="Arial" w:cs="Arial"/>
          <w:b/>
          <w:lang w:val="fr-FR"/>
        </w:rPr>
      </w:pPr>
    </w:p>
    <w:p w:rsidRPr="00A86354" w:rsidR="007A5E8E" w:rsidP="00E33849" w:rsidRDefault="007A5E8E" w14:paraId="131A6BB3" w14:textId="1304DA49">
      <w:pPr>
        <w:tabs>
          <w:tab w:val="left" w:pos="0"/>
        </w:tabs>
        <w:rPr>
          <w:rFonts w:ascii="Arial" w:hAnsi="Arial" w:cs="Arial"/>
          <w:b/>
          <w:lang w:val="fr-FR"/>
        </w:rPr>
      </w:pPr>
      <w:r w:rsidRPr="00A86354">
        <w:rPr>
          <w:rFonts w:ascii="Arial" w:hAnsi="Arial" w:cs="Arial"/>
          <w:b/>
          <w:lang w:val="fr-FR"/>
        </w:rPr>
        <w:t xml:space="preserve">OBSERVATIONS </w:t>
      </w:r>
      <w:r w:rsidRPr="00A86354" w:rsidR="00354EA5">
        <w:rPr>
          <w:rFonts w:ascii="Arial" w:hAnsi="Arial" w:cs="Arial"/>
          <w:b/>
          <w:lang w:val="fr-FR"/>
        </w:rPr>
        <w:t>DE TIERS INTERVENANTS</w:t>
      </w:r>
      <w:r w:rsidRPr="00A86354">
        <w:rPr>
          <w:rFonts w:ascii="Arial" w:hAnsi="Arial" w:cs="Arial"/>
          <w:b/>
          <w:lang w:val="fr-FR"/>
        </w:rPr>
        <w:t xml:space="preserve"> </w:t>
      </w:r>
    </w:p>
    <w:p w:rsidRPr="00A86354" w:rsidR="007A5E8E" w:rsidP="007A5E8E" w:rsidRDefault="007A5E8E" w14:paraId="1EF446E6" w14:textId="77777777">
      <w:pPr>
        <w:tabs>
          <w:tab w:val="left" w:pos="709"/>
        </w:tabs>
        <w:rPr>
          <w:rFonts w:ascii="Arial" w:hAnsi="Arial" w:cs="Arial"/>
          <w:b/>
          <w:lang w:val="fr-FR"/>
        </w:rPr>
      </w:pPr>
    </w:p>
    <w:p w:rsidRPr="00A86354" w:rsidR="007A5E8E" w:rsidP="007A5E8E" w:rsidRDefault="007A5E8E" w14:paraId="56602D27" w14:textId="22A4F956">
      <w:pPr>
        <w:tabs>
          <w:tab w:val="left" w:pos="709"/>
        </w:tabs>
        <w:outlineLvl w:val="0"/>
        <w:rPr>
          <w:rFonts w:ascii="Arial" w:hAnsi="Arial" w:eastAsia="Calibri" w:cs="Arial"/>
          <w:b/>
          <w:lang w:val="fr-FR"/>
        </w:rPr>
      </w:pPr>
      <w:r w:rsidRPr="00A86354">
        <w:rPr>
          <w:rFonts w:ascii="Arial" w:hAnsi="Arial" w:eastAsia="Calibri" w:cs="Arial"/>
          <w:b/>
          <w:lang w:val="fr-FR"/>
        </w:rPr>
        <w:t xml:space="preserve">A – </w:t>
      </w:r>
      <w:r w:rsidRPr="00A86354" w:rsidR="00C6322D">
        <w:rPr>
          <w:rFonts w:ascii="Arial" w:hAnsi="Arial" w:cs="Arial"/>
          <w:b/>
          <w:bCs/>
          <w:lang w:val="fr-FR"/>
        </w:rPr>
        <w:t>Commission nationale consultative des droits de l</w:t>
      </w:r>
      <w:r w:rsidRPr="00A86354" w:rsidR="0006032C">
        <w:rPr>
          <w:rFonts w:ascii="Arial" w:hAnsi="Arial" w:cs="Arial"/>
          <w:b/>
          <w:bCs/>
          <w:lang w:val="fr-FR"/>
        </w:rPr>
        <w:t>’</w:t>
      </w:r>
      <w:r w:rsidRPr="00A86354" w:rsidR="00C6322D">
        <w:rPr>
          <w:rFonts w:ascii="Arial" w:hAnsi="Arial" w:cs="Arial"/>
          <w:b/>
          <w:bCs/>
          <w:lang w:val="fr-FR"/>
        </w:rPr>
        <w:t xml:space="preserve">homme </w:t>
      </w:r>
      <w:r w:rsidRPr="00A86354">
        <w:rPr>
          <w:rFonts w:ascii="Arial" w:hAnsi="Arial" w:eastAsia="Calibri" w:cs="Arial"/>
          <w:b/>
          <w:lang w:val="fr-FR"/>
        </w:rPr>
        <w:t>(</w:t>
      </w:r>
      <w:r w:rsidRPr="00A86354" w:rsidR="00C6322D">
        <w:rPr>
          <w:rFonts w:ascii="Arial" w:hAnsi="Arial" w:eastAsia="Calibri" w:cs="Arial"/>
          <w:b/>
          <w:lang w:val="fr-FR"/>
        </w:rPr>
        <w:t>CNCDH</w:t>
      </w:r>
      <w:r w:rsidRPr="00A86354">
        <w:rPr>
          <w:rFonts w:ascii="Arial" w:hAnsi="Arial" w:eastAsia="Calibri" w:cs="Arial"/>
          <w:b/>
          <w:lang w:val="fr-FR"/>
        </w:rPr>
        <w:t>)</w:t>
      </w:r>
    </w:p>
    <w:p w:rsidRPr="00A86354" w:rsidR="007A5E8E" w:rsidP="007A5E8E" w:rsidRDefault="007A5E8E" w14:paraId="253B6112" w14:textId="77777777">
      <w:pPr>
        <w:pStyle w:val="ListParagraph"/>
        <w:rPr>
          <w:rFonts w:cs="Arial"/>
          <w:lang w:val="fr-FR"/>
        </w:rPr>
      </w:pPr>
    </w:p>
    <w:p w:rsidRPr="00A86354" w:rsidR="007A5E8E" w:rsidP="00CE016A" w:rsidRDefault="00ED3EC0" w14:paraId="799F7058" w14:textId="28668A5D">
      <w:pPr>
        <w:pStyle w:val="ListParagraph"/>
        <w:numPr>
          <w:ilvl w:val="0"/>
          <w:numId w:val="1"/>
        </w:numPr>
        <w:ind w:left="0" w:firstLine="0"/>
        <w:rPr>
          <w:rFonts w:cs="Arial"/>
          <w:lang w:val="fr-FR"/>
        </w:rPr>
      </w:pPr>
      <w:r w:rsidRPr="00A86354">
        <w:rPr>
          <w:rFonts w:cs="Arial"/>
          <w:lang w:val="fr-FR"/>
        </w:rPr>
        <w:t>La CNCDH est l</w:t>
      </w:r>
      <w:r w:rsidRPr="00A86354" w:rsidR="0006032C">
        <w:rPr>
          <w:rFonts w:cs="Arial"/>
          <w:lang w:val="fr-FR"/>
        </w:rPr>
        <w:t>’</w:t>
      </w:r>
      <w:r w:rsidRPr="00A86354" w:rsidR="00836719">
        <w:rPr>
          <w:rFonts w:cs="Arial"/>
          <w:lang w:val="fr-FR"/>
        </w:rPr>
        <w:t>i</w:t>
      </w:r>
      <w:r w:rsidRPr="00A86354">
        <w:rPr>
          <w:rFonts w:cs="Arial"/>
          <w:lang w:val="fr-FR"/>
        </w:rPr>
        <w:t>nstitution nationale</w:t>
      </w:r>
      <w:r w:rsidRPr="00A86354" w:rsidR="005F7BC4">
        <w:rPr>
          <w:rFonts w:cs="Arial"/>
          <w:lang w:val="fr-FR"/>
        </w:rPr>
        <w:t xml:space="preserve"> française</w:t>
      </w:r>
      <w:r w:rsidRPr="00A86354">
        <w:rPr>
          <w:rFonts w:cs="Arial"/>
          <w:lang w:val="fr-FR"/>
        </w:rPr>
        <w:t xml:space="preserve"> de promotion et de protection des droits de l</w:t>
      </w:r>
      <w:r w:rsidRPr="00A86354" w:rsidR="0006032C">
        <w:rPr>
          <w:rFonts w:cs="Arial"/>
          <w:lang w:val="fr-FR"/>
        </w:rPr>
        <w:t>’</w:t>
      </w:r>
      <w:r w:rsidRPr="00A86354">
        <w:rPr>
          <w:rFonts w:cs="Arial"/>
          <w:lang w:val="fr-FR"/>
        </w:rPr>
        <w:t>homme</w:t>
      </w:r>
      <w:r w:rsidRPr="00A86354" w:rsidR="007A5E8E">
        <w:rPr>
          <w:rFonts w:cs="Arial"/>
          <w:lang w:val="fr-FR"/>
        </w:rPr>
        <w:t xml:space="preserve">. </w:t>
      </w:r>
      <w:r w:rsidRPr="00A86354">
        <w:rPr>
          <w:rFonts w:cs="Arial"/>
          <w:lang w:val="fr-FR"/>
        </w:rPr>
        <w:t>Institution administrative indépendante</w:t>
      </w:r>
      <w:r w:rsidRPr="00A86354" w:rsidR="007A5E8E">
        <w:rPr>
          <w:rFonts w:cs="Arial"/>
          <w:lang w:val="fr-FR"/>
        </w:rPr>
        <w:t xml:space="preserve">, </w:t>
      </w:r>
      <w:r w:rsidRPr="00A86354" w:rsidR="00836719">
        <w:rPr>
          <w:rFonts w:cs="Arial"/>
          <w:lang w:val="fr-FR"/>
        </w:rPr>
        <w:t>elle</w:t>
      </w:r>
      <w:r w:rsidRPr="00A86354" w:rsidR="007A5E8E">
        <w:rPr>
          <w:rFonts w:cs="Arial"/>
          <w:lang w:val="fr-FR"/>
        </w:rPr>
        <w:t xml:space="preserve"> </w:t>
      </w:r>
      <w:r w:rsidRPr="00A86354" w:rsidR="003226E7">
        <w:rPr>
          <w:rFonts w:cs="Arial"/>
          <w:lang w:val="fr-FR"/>
        </w:rPr>
        <w:t xml:space="preserve">assure en toute indépendance un rôle de conseil et de proposition auprès du </w:t>
      </w:r>
      <w:r w:rsidRPr="00A86354" w:rsidR="00AE34AC">
        <w:rPr>
          <w:rFonts w:cs="Arial"/>
          <w:lang w:val="fr-FR"/>
        </w:rPr>
        <w:t>Gouvernement</w:t>
      </w:r>
      <w:r w:rsidRPr="00A86354" w:rsidR="003226E7">
        <w:rPr>
          <w:rFonts w:cs="Arial"/>
          <w:lang w:val="fr-FR"/>
        </w:rPr>
        <w:t xml:space="preserve"> et du Parlement, dans le domaine des droits de l</w:t>
      </w:r>
      <w:r w:rsidRPr="00A86354" w:rsidR="0006032C">
        <w:rPr>
          <w:rFonts w:cs="Arial"/>
          <w:lang w:val="fr-FR"/>
        </w:rPr>
        <w:t>’</w:t>
      </w:r>
      <w:r w:rsidRPr="00A86354" w:rsidR="003226E7">
        <w:rPr>
          <w:rFonts w:cs="Arial"/>
          <w:lang w:val="fr-FR"/>
        </w:rPr>
        <w:t>homme, du droit et de l</w:t>
      </w:r>
      <w:r w:rsidRPr="00A86354" w:rsidR="0006032C">
        <w:rPr>
          <w:rFonts w:cs="Arial"/>
          <w:lang w:val="fr-FR"/>
        </w:rPr>
        <w:t>’</w:t>
      </w:r>
      <w:r w:rsidRPr="00A86354" w:rsidR="003226E7">
        <w:rPr>
          <w:rFonts w:cs="Arial"/>
          <w:lang w:val="fr-FR"/>
        </w:rPr>
        <w:t>action humanitaire et du respect des garanties fondamentales accordées aux citoyens pour l</w:t>
      </w:r>
      <w:r w:rsidRPr="00A86354" w:rsidR="0006032C">
        <w:rPr>
          <w:rFonts w:cs="Arial"/>
          <w:lang w:val="fr-FR"/>
        </w:rPr>
        <w:t>’</w:t>
      </w:r>
      <w:r w:rsidRPr="00A86354" w:rsidR="003226E7">
        <w:rPr>
          <w:rFonts w:cs="Arial"/>
          <w:lang w:val="fr-FR"/>
        </w:rPr>
        <w:t>exercice des libertés publiques</w:t>
      </w:r>
      <w:r w:rsidRPr="00A86354" w:rsidR="007A5E8E">
        <w:rPr>
          <w:rFonts w:cs="Arial"/>
          <w:lang w:val="fr-FR"/>
        </w:rPr>
        <w:t>.</w:t>
      </w:r>
    </w:p>
    <w:p w:rsidRPr="00A86354" w:rsidR="007A5E8E" w:rsidP="007D5720" w:rsidRDefault="007A5E8E" w14:paraId="1873A24E" w14:textId="77777777">
      <w:pPr>
        <w:pStyle w:val="ListParagraph"/>
        <w:rPr>
          <w:rFonts w:cs="Arial"/>
          <w:lang w:val="fr-FR"/>
        </w:rPr>
      </w:pPr>
    </w:p>
    <w:p w:rsidRPr="00A86354" w:rsidR="00E74FF7" w:rsidP="00E74FF7" w:rsidRDefault="00354EA5" w14:paraId="04A62DDC" w14:textId="13ED64D4">
      <w:pPr>
        <w:pStyle w:val="ListParagraph"/>
        <w:rPr>
          <w:rFonts w:cs="Arial"/>
          <w:i/>
          <w:iCs/>
          <w:lang w:val="fr-FR"/>
        </w:rPr>
      </w:pPr>
      <w:r w:rsidRPr="00A86354">
        <w:rPr>
          <w:rFonts w:cs="Arial"/>
          <w:i/>
          <w:iCs/>
          <w:lang w:val="fr-FR"/>
        </w:rPr>
        <w:t xml:space="preserve">Absence de politique coordonnée </w:t>
      </w:r>
      <w:r w:rsidRPr="00A86354" w:rsidR="002A44AC">
        <w:rPr>
          <w:rFonts w:cs="Arial"/>
          <w:i/>
          <w:iCs/>
          <w:lang w:val="fr-FR"/>
        </w:rPr>
        <w:t>en vue</w:t>
      </w:r>
      <w:r w:rsidRPr="00A86354">
        <w:rPr>
          <w:rFonts w:cs="Arial"/>
          <w:i/>
          <w:iCs/>
          <w:lang w:val="fr-FR"/>
        </w:rPr>
        <w:t xml:space="preserve"> de l</w:t>
      </w:r>
      <w:r w:rsidRPr="00A86354" w:rsidR="0006032C">
        <w:rPr>
          <w:rFonts w:cs="Arial"/>
          <w:i/>
          <w:iCs/>
          <w:lang w:val="fr-FR"/>
        </w:rPr>
        <w:t>’</w:t>
      </w:r>
      <w:r w:rsidRPr="00A86354">
        <w:rPr>
          <w:rFonts w:cs="Arial"/>
          <w:i/>
          <w:iCs/>
          <w:lang w:val="fr-FR"/>
        </w:rPr>
        <w:t>intégration sociale et de la participation à la vie de la communauté</w:t>
      </w:r>
    </w:p>
    <w:p w:rsidRPr="00A86354" w:rsidR="00E74FF7" w:rsidP="00E74FF7" w:rsidRDefault="00E74FF7" w14:paraId="2D906EA8" w14:textId="77777777">
      <w:pPr>
        <w:pStyle w:val="ListParagraph"/>
        <w:rPr>
          <w:rFonts w:cs="Arial"/>
          <w:i/>
          <w:iCs/>
          <w:lang w:val="fr-FR"/>
        </w:rPr>
      </w:pPr>
    </w:p>
    <w:p w:rsidRPr="00A86354" w:rsidR="00F42033" w:rsidP="00CE016A" w:rsidRDefault="00E74FF7" w14:paraId="5260C6CE" w14:textId="13508C10">
      <w:pPr>
        <w:pStyle w:val="ListParagraph"/>
        <w:numPr>
          <w:ilvl w:val="0"/>
          <w:numId w:val="1"/>
        </w:numPr>
        <w:ind w:left="0" w:firstLine="0"/>
        <w:rPr>
          <w:rFonts w:cs="Arial"/>
          <w:i/>
          <w:iCs/>
          <w:lang w:val="fr-FR"/>
        </w:rPr>
      </w:pPr>
      <w:r w:rsidRPr="00A86354">
        <w:rPr>
          <w:rFonts w:cs="Arial"/>
          <w:lang w:val="fr-FR"/>
        </w:rPr>
        <w:t>La</w:t>
      </w:r>
      <w:r w:rsidRPr="00A86354" w:rsidR="00FA3B6C">
        <w:rPr>
          <w:rFonts w:cs="Arial"/>
          <w:lang w:val="fr-FR"/>
        </w:rPr>
        <w:t xml:space="preserve"> CNCDH</w:t>
      </w:r>
      <w:r w:rsidRPr="00A86354" w:rsidR="003A2712">
        <w:rPr>
          <w:rFonts w:cs="Arial"/>
          <w:lang w:val="fr-FR"/>
        </w:rPr>
        <w:t xml:space="preserve"> </w:t>
      </w:r>
      <w:r w:rsidRPr="00A86354">
        <w:rPr>
          <w:rFonts w:cs="Arial"/>
          <w:lang w:val="fr-FR"/>
        </w:rPr>
        <w:t xml:space="preserve">fait valoir que de nombreux problèmes concernant les droits des personnes handicapées </w:t>
      </w:r>
      <w:r w:rsidRPr="00A86354" w:rsidR="008F64B9">
        <w:rPr>
          <w:rFonts w:cs="Arial"/>
          <w:lang w:val="fr-FR"/>
        </w:rPr>
        <w:t xml:space="preserve">en France </w:t>
      </w:r>
      <w:r w:rsidRPr="00A86354">
        <w:rPr>
          <w:rFonts w:cs="Arial"/>
          <w:lang w:val="fr-FR"/>
        </w:rPr>
        <w:t xml:space="preserve">découlent </w:t>
      </w:r>
      <w:r w:rsidRPr="00A86354" w:rsidR="008F64B9">
        <w:rPr>
          <w:rFonts w:cs="Arial"/>
          <w:lang w:val="fr-FR"/>
        </w:rPr>
        <w:t>de</w:t>
      </w:r>
      <w:r w:rsidRPr="00A86354">
        <w:rPr>
          <w:rFonts w:cs="Arial"/>
          <w:lang w:val="fr-FR"/>
        </w:rPr>
        <w:t xml:space="preserve"> la façon de définir et concevoir le handicap </w:t>
      </w:r>
      <w:r w:rsidRPr="00A86354" w:rsidR="008F64B9">
        <w:rPr>
          <w:rFonts w:cs="Arial"/>
          <w:lang w:val="fr-FR"/>
        </w:rPr>
        <w:t>en droit et en fait, et de l</w:t>
      </w:r>
      <w:r w:rsidRPr="00A86354" w:rsidR="0006032C">
        <w:rPr>
          <w:rFonts w:cs="Arial"/>
          <w:lang w:val="fr-FR"/>
        </w:rPr>
        <w:t>’</w:t>
      </w:r>
      <w:r w:rsidRPr="00A86354" w:rsidR="008F64B9">
        <w:rPr>
          <w:rFonts w:cs="Arial"/>
          <w:lang w:val="fr-FR"/>
        </w:rPr>
        <w:t>absence d</w:t>
      </w:r>
      <w:r w:rsidRPr="00A86354" w:rsidR="0006032C">
        <w:rPr>
          <w:rFonts w:cs="Arial"/>
          <w:lang w:val="fr-FR"/>
        </w:rPr>
        <w:t>’</w:t>
      </w:r>
      <w:r w:rsidRPr="00A86354" w:rsidR="008F64B9">
        <w:rPr>
          <w:rFonts w:cs="Arial"/>
          <w:lang w:val="fr-FR"/>
        </w:rPr>
        <w:t>adoption en la matière d</w:t>
      </w:r>
      <w:r w:rsidRPr="00A86354" w:rsidR="0006032C">
        <w:rPr>
          <w:rFonts w:cs="Arial"/>
          <w:lang w:val="fr-FR"/>
        </w:rPr>
        <w:t>’</w:t>
      </w:r>
      <w:r w:rsidRPr="00A86354" w:rsidR="008F64B9">
        <w:rPr>
          <w:rFonts w:cs="Arial"/>
          <w:lang w:val="fr-FR"/>
        </w:rPr>
        <w:t>une approche par les droits. La</w:t>
      </w:r>
      <w:r w:rsidRPr="00A86354">
        <w:rPr>
          <w:rFonts w:cs="Arial"/>
          <w:lang w:val="fr-FR"/>
        </w:rPr>
        <w:t xml:space="preserve"> France, tout en ayant ratifié la Convention internationale relative aux droits des personnes handicapées </w:t>
      </w:r>
      <w:r w:rsidRPr="00A86354" w:rsidR="00213A42">
        <w:rPr>
          <w:rFonts w:cs="Arial"/>
          <w:lang w:val="fr-FR"/>
        </w:rPr>
        <w:t>(CIDPH)</w:t>
      </w:r>
      <w:r w:rsidRPr="00A86354">
        <w:rPr>
          <w:rFonts w:cs="Arial"/>
          <w:lang w:val="fr-FR"/>
        </w:rPr>
        <w:t xml:space="preserve"> le 18</w:t>
      </w:r>
      <w:r w:rsidRPr="00A86354" w:rsidR="00836719">
        <w:rPr>
          <w:rFonts w:cs="Arial"/>
          <w:lang w:val="fr-FR"/>
        </w:rPr>
        <w:t> </w:t>
      </w:r>
      <w:r w:rsidRPr="00A86354">
        <w:rPr>
          <w:rFonts w:cs="Arial"/>
          <w:lang w:val="fr-FR"/>
        </w:rPr>
        <w:t xml:space="preserve">février 2010, continue de considérer les personnes handicapées comme des </w:t>
      </w:r>
      <w:r w:rsidRPr="00A86354" w:rsidR="000807D5">
        <w:rPr>
          <w:rFonts w:cs="Arial"/>
          <w:lang w:val="fr-FR"/>
        </w:rPr>
        <w:t>« </w:t>
      </w:r>
      <w:r w:rsidRPr="00A86354">
        <w:rPr>
          <w:rFonts w:cs="Arial"/>
          <w:lang w:val="fr-FR"/>
        </w:rPr>
        <w:t>objets de soins</w:t>
      </w:r>
      <w:r w:rsidRPr="00A86354" w:rsidR="000807D5">
        <w:rPr>
          <w:rFonts w:cs="Arial"/>
          <w:lang w:val="fr-FR"/>
        </w:rPr>
        <w:t> »</w:t>
      </w:r>
      <w:r w:rsidRPr="00A86354">
        <w:rPr>
          <w:rFonts w:cs="Arial"/>
          <w:lang w:val="fr-FR"/>
        </w:rPr>
        <w:t xml:space="preserve"> et non comme des </w:t>
      </w:r>
      <w:r w:rsidRPr="00A86354" w:rsidR="000807D5">
        <w:rPr>
          <w:rFonts w:cs="Arial"/>
          <w:lang w:val="fr-FR"/>
        </w:rPr>
        <w:t>« </w:t>
      </w:r>
      <w:r w:rsidRPr="00A86354">
        <w:rPr>
          <w:rFonts w:cs="Arial"/>
          <w:lang w:val="fr-FR"/>
        </w:rPr>
        <w:t>sujets de droits</w:t>
      </w:r>
      <w:r w:rsidRPr="00A86354" w:rsidR="000807D5">
        <w:rPr>
          <w:rFonts w:cs="Arial"/>
          <w:lang w:val="fr-FR"/>
        </w:rPr>
        <w:t> »</w:t>
      </w:r>
      <w:r w:rsidRPr="00A86354">
        <w:rPr>
          <w:rFonts w:cs="Arial"/>
          <w:lang w:val="fr-FR"/>
        </w:rPr>
        <w:t>, et ne s</w:t>
      </w:r>
      <w:r w:rsidRPr="00A86354" w:rsidR="0006032C">
        <w:rPr>
          <w:rFonts w:cs="Arial"/>
          <w:lang w:val="fr-FR"/>
        </w:rPr>
        <w:t>’</w:t>
      </w:r>
      <w:r w:rsidRPr="00A86354">
        <w:rPr>
          <w:rFonts w:cs="Arial"/>
          <w:lang w:val="fr-FR"/>
        </w:rPr>
        <w:t xml:space="preserve">attaque pas suffisamment à </w:t>
      </w:r>
      <w:r w:rsidRPr="00A86354" w:rsidR="00836719">
        <w:rPr>
          <w:rFonts w:cs="Arial"/>
          <w:lang w:val="fr-FR"/>
        </w:rPr>
        <w:t xml:space="preserve">la </w:t>
      </w:r>
      <w:r w:rsidRPr="00A86354">
        <w:rPr>
          <w:rFonts w:cs="Arial"/>
          <w:lang w:val="fr-FR"/>
        </w:rPr>
        <w:t xml:space="preserve">destruction des </w:t>
      </w:r>
      <w:r w:rsidRPr="00A86354" w:rsidR="000807D5">
        <w:rPr>
          <w:rFonts w:cs="Arial"/>
          <w:lang w:val="fr-FR"/>
        </w:rPr>
        <w:t>« </w:t>
      </w:r>
      <w:r w:rsidRPr="00A86354">
        <w:rPr>
          <w:rFonts w:cs="Arial"/>
          <w:lang w:val="fr-FR"/>
        </w:rPr>
        <w:t>barrières</w:t>
      </w:r>
      <w:r w:rsidRPr="00A86354" w:rsidR="000807D5">
        <w:rPr>
          <w:rFonts w:cs="Arial"/>
          <w:lang w:val="fr-FR"/>
        </w:rPr>
        <w:t> »</w:t>
      </w:r>
      <w:r w:rsidRPr="00A86354">
        <w:rPr>
          <w:rFonts w:cs="Arial"/>
          <w:lang w:val="fr-FR"/>
        </w:rPr>
        <w:t xml:space="preserve"> qui</w:t>
      </w:r>
      <w:r w:rsidRPr="00A86354" w:rsidR="00213A42">
        <w:rPr>
          <w:rFonts w:cs="Arial"/>
          <w:lang w:val="fr-FR"/>
        </w:rPr>
        <w:t>, selon l</w:t>
      </w:r>
      <w:r w:rsidRPr="00A86354" w:rsidR="0006032C">
        <w:rPr>
          <w:rFonts w:cs="Arial"/>
          <w:lang w:val="fr-FR"/>
        </w:rPr>
        <w:t>’</w:t>
      </w:r>
      <w:r w:rsidRPr="00A86354" w:rsidR="00213A42">
        <w:rPr>
          <w:rFonts w:cs="Arial"/>
          <w:lang w:val="fr-FR"/>
        </w:rPr>
        <w:t>article 1</w:t>
      </w:r>
      <w:r w:rsidRPr="00A86354" w:rsidR="00213A42">
        <w:rPr>
          <w:rFonts w:cs="Arial"/>
          <w:vertAlign w:val="superscript"/>
          <w:lang w:val="fr-FR"/>
        </w:rPr>
        <w:t>er</w:t>
      </w:r>
      <w:r w:rsidRPr="00A86354" w:rsidR="002A44AC">
        <w:rPr>
          <w:rFonts w:cs="Arial"/>
          <w:lang w:val="fr-FR"/>
        </w:rPr>
        <w:t xml:space="preserve"> </w:t>
      </w:r>
      <w:r w:rsidRPr="00A86354" w:rsidR="00213A42">
        <w:rPr>
          <w:rFonts w:cs="Arial"/>
          <w:lang w:val="fr-FR"/>
        </w:rPr>
        <w:t>de la CIDPH,</w:t>
      </w:r>
      <w:r w:rsidRPr="00A86354">
        <w:rPr>
          <w:rFonts w:cs="Arial"/>
          <w:lang w:val="fr-FR"/>
        </w:rPr>
        <w:t xml:space="preserve"> </w:t>
      </w:r>
      <w:r w:rsidRPr="00A86354" w:rsidR="002A44AC">
        <w:rPr>
          <w:rFonts w:cs="Arial"/>
          <w:lang w:val="fr-FR"/>
        </w:rPr>
        <w:t xml:space="preserve">peuvent </w:t>
      </w:r>
      <w:r w:rsidRPr="00914154" w:rsidR="00914154">
        <w:rPr>
          <w:rFonts w:cs="Arial"/>
        </w:rPr>
        <w:t>faire obstacle</w:t>
      </w:r>
      <w:r w:rsidR="00914154">
        <w:rPr>
          <w:rFonts w:cs="Arial"/>
        </w:rPr>
        <w:t xml:space="preserve"> à </w:t>
      </w:r>
      <w:r w:rsidRPr="00A86354" w:rsidR="002A44AC">
        <w:rPr>
          <w:rFonts w:cs="Arial"/>
          <w:lang w:val="fr-FR"/>
        </w:rPr>
        <w:t>la</w:t>
      </w:r>
      <w:r w:rsidRPr="00A86354" w:rsidR="00FA3B6C">
        <w:rPr>
          <w:rFonts w:cs="Arial"/>
          <w:lang w:val="fr-FR"/>
        </w:rPr>
        <w:t xml:space="preserve"> </w:t>
      </w:r>
      <w:r w:rsidRPr="00A86354" w:rsidR="002A44AC">
        <w:rPr>
          <w:rFonts w:cs="Arial"/>
          <w:lang w:val="fr-FR"/>
        </w:rPr>
        <w:t>pleine et effective</w:t>
      </w:r>
      <w:r w:rsidRPr="00914154" w:rsidR="00914154">
        <w:rPr>
          <w:rFonts w:ascii="Times New Roman" w:hAnsi="Times New Roman" w:cs="Arial"/>
          <w:lang w:val="fr-FR"/>
        </w:rPr>
        <w:t xml:space="preserve"> </w:t>
      </w:r>
      <w:r w:rsidRPr="00914154" w:rsidR="00914154">
        <w:rPr>
          <w:rFonts w:cs="Arial"/>
          <w:lang w:val="fr-FR"/>
        </w:rPr>
        <w:t>participation</w:t>
      </w:r>
      <w:r w:rsidRPr="00A86354" w:rsidR="002A44AC">
        <w:rPr>
          <w:rFonts w:cs="Arial"/>
          <w:lang w:val="fr-FR"/>
        </w:rPr>
        <w:t xml:space="preserve"> des personnes handicapées à la société sur la base de l</w:t>
      </w:r>
      <w:r w:rsidRPr="00A86354" w:rsidR="0006032C">
        <w:rPr>
          <w:rFonts w:cs="Arial"/>
          <w:lang w:val="fr-FR"/>
        </w:rPr>
        <w:t>’</w:t>
      </w:r>
      <w:r w:rsidRPr="00A86354" w:rsidR="002A44AC">
        <w:rPr>
          <w:rFonts w:cs="Arial"/>
          <w:lang w:val="fr-FR"/>
        </w:rPr>
        <w:t>égalité avec les autres</w:t>
      </w:r>
      <w:r w:rsidRPr="00A86354" w:rsidR="00FA3B6C">
        <w:rPr>
          <w:rFonts w:cs="Arial"/>
          <w:lang w:val="fr-FR"/>
        </w:rPr>
        <w:t xml:space="preserve">. </w:t>
      </w:r>
      <w:r w:rsidRPr="00A86354" w:rsidR="00ED4BA2">
        <w:rPr>
          <w:rFonts w:cs="Arial"/>
          <w:lang w:val="fr-FR"/>
        </w:rPr>
        <w:t>Selon la</w:t>
      </w:r>
      <w:r w:rsidRPr="00A86354" w:rsidR="00FA3B6C">
        <w:rPr>
          <w:rFonts w:cs="Arial"/>
          <w:lang w:val="fr-FR"/>
        </w:rPr>
        <w:t xml:space="preserve"> CNCDH, </w:t>
      </w:r>
      <w:r w:rsidRPr="00A86354" w:rsidR="00ED4BA2">
        <w:rPr>
          <w:rFonts w:cs="Arial"/>
          <w:lang w:val="fr-FR"/>
        </w:rPr>
        <w:t>les différentes</w:t>
      </w:r>
      <w:r w:rsidRPr="00A86354" w:rsidR="00FA3B6C">
        <w:rPr>
          <w:rFonts w:cs="Arial"/>
          <w:lang w:val="fr-FR"/>
        </w:rPr>
        <w:t xml:space="preserve"> mesures </w:t>
      </w:r>
      <w:r w:rsidRPr="00A86354" w:rsidR="00ED4BA2">
        <w:rPr>
          <w:rFonts w:cs="Arial"/>
          <w:lang w:val="fr-FR"/>
        </w:rPr>
        <w:t>mises en</w:t>
      </w:r>
      <w:r w:rsidRPr="00A86354" w:rsidR="00FA3B6C">
        <w:rPr>
          <w:rFonts w:cs="Arial"/>
          <w:lang w:val="fr-FR"/>
        </w:rPr>
        <w:t xml:space="preserve"> place </w:t>
      </w:r>
      <w:r w:rsidRPr="00A86354" w:rsidR="00ED4BA2">
        <w:rPr>
          <w:rFonts w:cs="Arial"/>
          <w:lang w:val="fr-FR"/>
        </w:rPr>
        <w:t>jusqu</w:t>
      </w:r>
      <w:r w:rsidRPr="00A86354" w:rsidR="0006032C">
        <w:rPr>
          <w:rFonts w:cs="Arial"/>
          <w:lang w:val="fr-FR"/>
        </w:rPr>
        <w:t>’</w:t>
      </w:r>
      <w:r w:rsidRPr="00A86354" w:rsidR="00ED4BA2">
        <w:rPr>
          <w:rFonts w:cs="Arial"/>
          <w:lang w:val="fr-FR"/>
        </w:rPr>
        <w:t>à présent</w:t>
      </w:r>
      <w:r w:rsidRPr="00A86354" w:rsidR="00FA3B6C">
        <w:rPr>
          <w:rFonts w:cs="Arial"/>
          <w:lang w:val="fr-FR"/>
        </w:rPr>
        <w:t xml:space="preserve"> </w:t>
      </w:r>
      <w:r w:rsidRPr="00A86354" w:rsidR="00ED4BA2">
        <w:rPr>
          <w:rFonts w:cs="Arial"/>
          <w:lang w:val="fr-FR"/>
        </w:rPr>
        <w:t>privilégient les compensations des conséquences du handicap au détriment d</w:t>
      </w:r>
      <w:r w:rsidRPr="00A86354" w:rsidR="0006032C">
        <w:rPr>
          <w:rFonts w:cs="Arial"/>
          <w:lang w:val="fr-FR"/>
        </w:rPr>
        <w:t>’</w:t>
      </w:r>
      <w:r w:rsidRPr="00A86354" w:rsidR="00ED4BA2">
        <w:rPr>
          <w:rFonts w:cs="Arial"/>
          <w:lang w:val="fr-FR"/>
        </w:rPr>
        <w:t>une politique inclusive d</w:t>
      </w:r>
      <w:r w:rsidRPr="00A86354" w:rsidR="0006032C">
        <w:rPr>
          <w:rFonts w:cs="Arial"/>
          <w:lang w:val="fr-FR"/>
        </w:rPr>
        <w:t>’</w:t>
      </w:r>
      <w:r w:rsidRPr="00A86354" w:rsidR="00ED4BA2">
        <w:rPr>
          <w:rFonts w:cs="Arial"/>
          <w:lang w:val="fr-FR"/>
        </w:rPr>
        <w:t>accès universel</w:t>
      </w:r>
      <w:r w:rsidRPr="00A86354" w:rsidR="00836719">
        <w:rPr>
          <w:rFonts w:cs="Arial"/>
          <w:lang w:val="fr-FR"/>
        </w:rPr>
        <w:t xml:space="preserve">, </w:t>
      </w:r>
      <w:r w:rsidRPr="00A86354" w:rsidR="00ED4BA2">
        <w:rPr>
          <w:rFonts w:cs="Arial"/>
          <w:lang w:val="fr-FR"/>
        </w:rPr>
        <w:t>ne visent pas l</w:t>
      </w:r>
      <w:r w:rsidRPr="00A86354" w:rsidR="0006032C">
        <w:rPr>
          <w:rFonts w:cs="Arial"/>
          <w:lang w:val="fr-FR"/>
        </w:rPr>
        <w:t>’</w:t>
      </w:r>
      <w:r w:rsidRPr="00A86354" w:rsidR="00ED4BA2">
        <w:rPr>
          <w:rFonts w:cs="Arial"/>
          <w:lang w:val="fr-FR"/>
        </w:rPr>
        <w:t>autonomie des personnes handicapées et ne permettent pas une participation effective à la vie de la communauté</w:t>
      </w:r>
      <w:r w:rsidRPr="00A86354" w:rsidR="00FA3B6C">
        <w:rPr>
          <w:rFonts w:cs="Arial"/>
          <w:lang w:val="fr-FR"/>
        </w:rPr>
        <w:t xml:space="preserve">. </w:t>
      </w:r>
    </w:p>
    <w:p w:rsidRPr="00A86354" w:rsidR="00F42033" w:rsidP="00F42033" w:rsidRDefault="00F42033" w14:paraId="50937741" w14:textId="77777777">
      <w:pPr>
        <w:pStyle w:val="ListParagraph"/>
        <w:rPr>
          <w:rFonts w:cs="Arial"/>
          <w:lang w:val="fr-FR"/>
        </w:rPr>
      </w:pPr>
    </w:p>
    <w:p w:rsidRPr="00A86354" w:rsidR="00F42033" w:rsidP="00CE016A" w:rsidRDefault="009142E5" w14:paraId="40F4C279" w14:textId="6E486BA8">
      <w:pPr>
        <w:pStyle w:val="ListParagraph"/>
        <w:numPr>
          <w:ilvl w:val="0"/>
          <w:numId w:val="1"/>
        </w:numPr>
        <w:ind w:left="0" w:firstLine="0"/>
        <w:rPr>
          <w:rFonts w:cs="Arial"/>
          <w:lang w:val="fr-FR"/>
        </w:rPr>
      </w:pPr>
      <w:r w:rsidRPr="00A86354">
        <w:rPr>
          <w:rFonts w:cs="Arial"/>
          <w:lang w:val="fr-FR"/>
        </w:rPr>
        <w:t xml:space="preserve">La </w:t>
      </w:r>
      <w:r w:rsidRPr="00A86354" w:rsidR="000556C3">
        <w:rPr>
          <w:rFonts w:cs="Arial"/>
          <w:lang w:val="fr-FR"/>
        </w:rPr>
        <w:t>CNCDH</w:t>
      </w:r>
      <w:r w:rsidRPr="00A86354" w:rsidR="00997377">
        <w:rPr>
          <w:rFonts w:cs="Arial"/>
          <w:lang w:val="fr-FR"/>
        </w:rPr>
        <w:t xml:space="preserve"> </w:t>
      </w:r>
      <w:r w:rsidRPr="00A86354" w:rsidR="007439C6">
        <w:rPr>
          <w:rFonts w:cs="Arial"/>
          <w:lang w:val="fr-FR"/>
        </w:rPr>
        <w:t>note</w:t>
      </w:r>
      <w:r w:rsidRPr="00A86354">
        <w:rPr>
          <w:rFonts w:cs="Arial"/>
          <w:lang w:val="fr-FR"/>
        </w:rPr>
        <w:t xml:space="preserve"> que</w:t>
      </w:r>
      <w:r w:rsidRPr="00A86354">
        <w:rPr>
          <w:rFonts w:ascii="Times New Roman" w:hAnsi="Times New Roman" w:eastAsiaTheme="minorHAnsi"/>
          <w:color w:val="000000"/>
          <w:sz w:val="22"/>
          <w:szCs w:val="22"/>
          <w:lang w:val="fr-FR" w:eastAsia="en-US"/>
        </w:rPr>
        <w:t xml:space="preserve"> </w:t>
      </w:r>
      <w:r w:rsidRPr="00A86354">
        <w:rPr>
          <w:rFonts w:cs="Arial"/>
          <w:lang w:val="fr-FR"/>
        </w:rPr>
        <w:t>l</w:t>
      </w:r>
      <w:r w:rsidRPr="00A86354" w:rsidR="0006032C">
        <w:rPr>
          <w:rFonts w:cs="Arial"/>
          <w:lang w:val="fr-FR"/>
        </w:rPr>
        <w:t>’</w:t>
      </w:r>
      <w:r w:rsidRPr="00A86354">
        <w:rPr>
          <w:rFonts w:cs="Arial"/>
          <w:lang w:val="fr-FR"/>
        </w:rPr>
        <w:t xml:space="preserve">absence de données chiffrées et de statistiques, ventilées par âge et par sexe, sur la situation du handicap en France pose un problème majeur en termes de garantie des droits des personnes handicapées et </w:t>
      </w:r>
      <w:r w:rsidRPr="00A86354" w:rsidR="00305EDB">
        <w:rPr>
          <w:rFonts w:cs="Arial"/>
          <w:lang w:val="fr-FR"/>
        </w:rPr>
        <w:t>empêche la mise en œuvre de politiques publiques en la matière</w:t>
      </w:r>
      <w:r w:rsidRPr="00A86354" w:rsidR="000556C3">
        <w:rPr>
          <w:rFonts w:cs="Arial"/>
          <w:lang w:val="fr-FR"/>
        </w:rPr>
        <w:t>.</w:t>
      </w:r>
      <w:r w:rsidRPr="00A86354" w:rsidR="00F42033">
        <w:rPr>
          <w:rFonts w:cs="Arial"/>
          <w:lang w:val="fr-FR"/>
        </w:rPr>
        <w:t xml:space="preserve"> </w:t>
      </w:r>
      <w:r w:rsidRPr="00A86354">
        <w:rPr>
          <w:rFonts w:cs="Arial"/>
          <w:lang w:val="fr-FR"/>
        </w:rPr>
        <w:t>Le recensement national ne comporte aucune</w:t>
      </w:r>
      <w:r w:rsidRPr="00A86354" w:rsidR="00305EDB">
        <w:rPr>
          <w:rFonts w:cs="Arial"/>
          <w:lang w:val="fr-FR"/>
        </w:rPr>
        <w:t xml:space="preserve"> </w:t>
      </w:r>
      <w:r w:rsidRPr="00A86354">
        <w:rPr>
          <w:rFonts w:cs="Arial"/>
          <w:lang w:val="fr-FR"/>
        </w:rPr>
        <w:t>question sur le handicap et la dernière enquête Handicap-Santé remonte à 2008</w:t>
      </w:r>
      <w:r w:rsidRPr="00A86354" w:rsidR="00F42033">
        <w:rPr>
          <w:rFonts w:cs="Arial"/>
          <w:lang w:val="fr-FR"/>
        </w:rPr>
        <w:t xml:space="preserve">. </w:t>
      </w:r>
      <w:r w:rsidRPr="00A86354">
        <w:rPr>
          <w:rFonts w:cs="Arial"/>
          <w:lang w:val="fr-FR"/>
        </w:rPr>
        <w:t xml:space="preserve">Les données relatives aux personnes autistes en </w:t>
      </w:r>
      <w:r w:rsidRPr="00A86354">
        <w:rPr>
          <w:rFonts w:cs="Arial"/>
          <w:lang w:val="fr-FR"/>
        </w:rPr>
        <w:lastRenderedPageBreak/>
        <w:t>France sont limitées, voire inexistantes, ce qui permet difficilement d</w:t>
      </w:r>
      <w:r w:rsidRPr="00A86354" w:rsidR="0006032C">
        <w:rPr>
          <w:rFonts w:cs="Arial"/>
          <w:lang w:val="fr-FR"/>
        </w:rPr>
        <w:t>’</w:t>
      </w:r>
      <w:r w:rsidRPr="00A86354">
        <w:rPr>
          <w:rFonts w:cs="Arial"/>
          <w:lang w:val="fr-FR"/>
        </w:rPr>
        <w:t>alimenter la conception d</w:t>
      </w:r>
      <w:r w:rsidRPr="00A86354" w:rsidR="0006032C">
        <w:rPr>
          <w:rFonts w:cs="Arial"/>
          <w:lang w:val="fr-FR"/>
        </w:rPr>
        <w:t>’</w:t>
      </w:r>
      <w:r w:rsidRPr="00A86354">
        <w:rPr>
          <w:rFonts w:cs="Arial"/>
          <w:lang w:val="fr-FR"/>
        </w:rPr>
        <w:t>orientations et de solutions appropriées fondées sur les droits</w:t>
      </w:r>
      <w:r w:rsidRPr="00A86354" w:rsidR="00F42033">
        <w:rPr>
          <w:rFonts w:cs="Arial"/>
          <w:lang w:val="fr-FR"/>
        </w:rPr>
        <w:t xml:space="preserve">. </w:t>
      </w:r>
      <w:r w:rsidRPr="00A86354">
        <w:rPr>
          <w:rFonts w:cs="Arial"/>
          <w:lang w:val="fr-FR"/>
        </w:rPr>
        <w:t xml:space="preserve">Selon la </w:t>
      </w:r>
      <w:r w:rsidRPr="00A86354" w:rsidR="00F42033">
        <w:rPr>
          <w:rFonts w:cs="Arial"/>
          <w:lang w:val="fr-FR"/>
        </w:rPr>
        <w:t xml:space="preserve">CNCDH, </w:t>
      </w:r>
      <w:r w:rsidRPr="00A86354">
        <w:rPr>
          <w:rFonts w:cs="Arial"/>
          <w:lang w:val="fr-FR"/>
        </w:rPr>
        <w:t>ces facteurs rendent impossible la mise en place et la mise en œuvre d</w:t>
      </w:r>
      <w:r w:rsidRPr="00A86354" w:rsidR="0006032C">
        <w:rPr>
          <w:rFonts w:cs="Arial"/>
          <w:lang w:val="fr-FR"/>
        </w:rPr>
        <w:t>’</w:t>
      </w:r>
      <w:r w:rsidRPr="00A86354">
        <w:rPr>
          <w:rFonts w:cs="Arial"/>
          <w:lang w:val="fr-FR"/>
        </w:rPr>
        <w:t>une politique coordonnée effective dans ce domaine</w:t>
      </w:r>
      <w:r w:rsidRPr="00A86354" w:rsidR="00F42033">
        <w:rPr>
          <w:rFonts w:cs="Arial"/>
          <w:lang w:val="fr-FR"/>
        </w:rPr>
        <w:t xml:space="preserve">.    </w:t>
      </w:r>
    </w:p>
    <w:p w:rsidRPr="00A86354" w:rsidR="000556C3" w:rsidP="00F42033" w:rsidRDefault="000556C3" w14:paraId="6B2BB12D" w14:textId="1CEAD762">
      <w:pPr>
        <w:rPr>
          <w:rFonts w:ascii="Arial" w:hAnsi="Arial" w:cs="Arial"/>
          <w:lang w:val="fr-FR"/>
        </w:rPr>
      </w:pPr>
    </w:p>
    <w:p w:rsidRPr="00A86354" w:rsidR="001243BD" w:rsidP="009142E5" w:rsidRDefault="009127BF" w14:paraId="18C01C5B" w14:textId="415ADE80">
      <w:pPr>
        <w:rPr>
          <w:rFonts w:ascii="Arial" w:hAnsi="Arial" w:cs="Arial"/>
          <w:i/>
          <w:iCs/>
          <w:lang w:val="fr-FR"/>
        </w:rPr>
      </w:pPr>
      <w:r w:rsidRPr="00A86354">
        <w:rPr>
          <w:rFonts w:ascii="Arial" w:hAnsi="Arial" w:cs="Arial"/>
          <w:i/>
          <w:iCs/>
          <w:lang w:val="fr-FR"/>
        </w:rPr>
        <w:t>A</w:t>
      </w:r>
      <w:r w:rsidRPr="00A86354" w:rsidR="009142E5">
        <w:rPr>
          <w:rFonts w:ascii="Arial" w:hAnsi="Arial" w:cs="Arial"/>
          <w:i/>
          <w:iCs/>
          <w:lang w:val="fr-FR"/>
        </w:rPr>
        <w:t>ccessibilité</w:t>
      </w:r>
      <w:r w:rsidRPr="00A86354" w:rsidR="001243BD">
        <w:rPr>
          <w:rFonts w:ascii="Arial" w:hAnsi="Arial" w:cs="Arial"/>
          <w:i/>
          <w:iCs/>
          <w:lang w:val="fr-FR"/>
        </w:rPr>
        <w:t xml:space="preserve"> </w:t>
      </w:r>
      <w:r w:rsidRPr="00A86354" w:rsidR="009142E5">
        <w:rPr>
          <w:rFonts w:ascii="Arial" w:hAnsi="Arial" w:cs="Arial"/>
          <w:i/>
          <w:iCs/>
          <w:lang w:val="fr-FR"/>
        </w:rPr>
        <w:t>des locaux et installation</w:t>
      </w:r>
      <w:r w:rsidRPr="00A86354" w:rsidR="001243BD">
        <w:rPr>
          <w:rFonts w:ascii="Arial" w:hAnsi="Arial" w:cs="Arial"/>
          <w:i/>
          <w:iCs/>
          <w:lang w:val="fr-FR"/>
        </w:rPr>
        <w:t xml:space="preserve">s </w:t>
      </w:r>
    </w:p>
    <w:p w:rsidRPr="00A86354" w:rsidR="001243BD" w:rsidP="000556C3" w:rsidRDefault="001243BD" w14:paraId="059C5791" w14:textId="77777777">
      <w:pPr>
        <w:pStyle w:val="ListParagraph"/>
        <w:ind w:left="360"/>
        <w:rPr>
          <w:rFonts w:cs="Arial"/>
          <w:lang w:val="fr-FR"/>
        </w:rPr>
      </w:pPr>
    </w:p>
    <w:p w:rsidRPr="00A86354" w:rsidR="00526193" w:rsidP="00CE016A" w:rsidRDefault="009142E5" w14:paraId="1C9CDA2A" w14:textId="2A9530CC">
      <w:pPr>
        <w:pStyle w:val="ListParagraph"/>
        <w:numPr>
          <w:ilvl w:val="0"/>
          <w:numId w:val="1"/>
        </w:numPr>
        <w:ind w:left="0" w:firstLine="0"/>
        <w:rPr>
          <w:rFonts w:cs="Arial"/>
          <w:lang w:val="fr-FR"/>
        </w:rPr>
      </w:pPr>
      <w:r w:rsidRPr="00A86354">
        <w:rPr>
          <w:rFonts w:cs="Arial"/>
          <w:lang w:val="fr-FR"/>
        </w:rPr>
        <w:t xml:space="preserve">Selon la </w:t>
      </w:r>
      <w:r w:rsidRPr="00A86354" w:rsidR="00482BC8">
        <w:rPr>
          <w:rFonts w:cs="Arial"/>
          <w:lang w:val="fr-FR"/>
        </w:rPr>
        <w:t xml:space="preserve">CNCDH, </w:t>
      </w:r>
      <w:r w:rsidRPr="00A86354">
        <w:rPr>
          <w:rFonts w:cs="Arial"/>
          <w:lang w:val="fr-FR"/>
        </w:rPr>
        <w:t>les</w:t>
      </w:r>
      <w:r w:rsidRPr="00A86354" w:rsidR="00482BC8">
        <w:rPr>
          <w:rFonts w:cs="Arial"/>
          <w:lang w:val="fr-FR"/>
        </w:rPr>
        <w:t xml:space="preserve"> </w:t>
      </w:r>
      <w:r w:rsidRPr="00A86354">
        <w:rPr>
          <w:rFonts w:cs="Arial"/>
          <w:lang w:val="fr-FR"/>
        </w:rPr>
        <w:t>mesures</w:t>
      </w:r>
      <w:r w:rsidRPr="00A86354" w:rsidR="00482BC8">
        <w:rPr>
          <w:rFonts w:cs="Arial"/>
          <w:lang w:val="fr-FR"/>
        </w:rPr>
        <w:t xml:space="preserve"> </w:t>
      </w:r>
      <w:r w:rsidRPr="00A86354">
        <w:rPr>
          <w:rFonts w:cs="Arial"/>
          <w:lang w:val="fr-FR"/>
        </w:rPr>
        <w:t>prises jusqu</w:t>
      </w:r>
      <w:r w:rsidRPr="00A86354" w:rsidR="0006032C">
        <w:rPr>
          <w:rFonts w:cs="Arial"/>
          <w:lang w:val="fr-FR"/>
        </w:rPr>
        <w:t>’</w:t>
      </w:r>
      <w:r w:rsidRPr="00A86354">
        <w:rPr>
          <w:rFonts w:cs="Arial"/>
          <w:lang w:val="fr-FR"/>
        </w:rPr>
        <w:t>à présent par la</w:t>
      </w:r>
      <w:r w:rsidRPr="00A86354" w:rsidR="00482BC8">
        <w:rPr>
          <w:rFonts w:cs="Arial"/>
          <w:lang w:val="fr-FR"/>
        </w:rPr>
        <w:t xml:space="preserve"> France</w:t>
      </w:r>
      <w:r w:rsidRPr="00A86354" w:rsidR="00964E2D">
        <w:rPr>
          <w:rFonts w:cs="Arial"/>
          <w:lang w:val="fr-FR"/>
        </w:rPr>
        <w:t xml:space="preserve"> </w:t>
      </w:r>
      <w:r w:rsidRPr="00A86354" w:rsidR="002F3CD1">
        <w:rPr>
          <w:rFonts w:cs="Arial"/>
          <w:lang w:val="fr-FR"/>
        </w:rPr>
        <w:t>ne mettent pas pleinement en œuvre le principe de l</w:t>
      </w:r>
      <w:r w:rsidRPr="00A86354" w:rsidR="0006032C">
        <w:rPr>
          <w:rFonts w:cs="Arial"/>
          <w:lang w:val="fr-FR"/>
        </w:rPr>
        <w:t>’</w:t>
      </w:r>
      <w:r w:rsidRPr="00A86354" w:rsidR="004857E6">
        <w:rPr>
          <w:rFonts w:cs="Arial"/>
          <w:lang w:val="fr-FR"/>
        </w:rPr>
        <w:t>« </w:t>
      </w:r>
      <w:r w:rsidRPr="00A86354" w:rsidR="002F3CD1">
        <w:rPr>
          <w:rFonts w:cs="Arial"/>
          <w:lang w:val="fr-FR"/>
        </w:rPr>
        <w:t>accessibilité universelle</w:t>
      </w:r>
      <w:r w:rsidRPr="00A86354" w:rsidR="000807D5">
        <w:rPr>
          <w:rFonts w:cs="Arial"/>
          <w:lang w:val="fr-FR"/>
        </w:rPr>
        <w:t> »</w:t>
      </w:r>
      <w:r w:rsidRPr="00A86354" w:rsidR="002F3CD1">
        <w:rPr>
          <w:rFonts w:cs="Arial"/>
          <w:lang w:val="fr-FR"/>
        </w:rPr>
        <w:t>.</w:t>
      </w:r>
      <w:r w:rsidRPr="00A86354" w:rsidR="00482BC8">
        <w:rPr>
          <w:rFonts w:cs="Arial"/>
          <w:lang w:val="fr-FR"/>
        </w:rPr>
        <w:t xml:space="preserve"> </w:t>
      </w:r>
      <w:r w:rsidRPr="00A86354" w:rsidR="00836719">
        <w:rPr>
          <w:rFonts w:cs="Arial"/>
          <w:lang w:val="fr-FR"/>
        </w:rPr>
        <w:t>C</w:t>
      </w:r>
      <w:r w:rsidRPr="00A86354" w:rsidR="002F3CD1">
        <w:rPr>
          <w:rFonts w:cs="Arial"/>
          <w:lang w:val="fr-FR"/>
        </w:rPr>
        <w:t>oncernant l</w:t>
      </w:r>
      <w:r w:rsidRPr="00A86354" w:rsidR="0006032C">
        <w:rPr>
          <w:rFonts w:cs="Arial"/>
          <w:lang w:val="fr-FR"/>
        </w:rPr>
        <w:t>’</w:t>
      </w:r>
      <w:r w:rsidRPr="00A86354" w:rsidR="002F3CD1">
        <w:rPr>
          <w:rFonts w:cs="Arial"/>
          <w:lang w:val="fr-FR"/>
        </w:rPr>
        <w:t>accessibilité des locaux et installations, la loi n°</w:t>
      </w:r>
      <w:r w:rsidRPr="00A86354" w:rsidR="00482BC8">
        <w:rPr>
          <w:rFonts w:cs="Arial"/>
          <w:lang w:val="fr-FR"/>
        </w:rPr>
        <w:t xml:space="preserve"> 2005-102 </w:t>
      </w:r>
      <w:r w:rsidRPr="00A86354" w:rsidR="002F3CD1">
        <w:rPr>
          <w:rFonts w:cs="Arial"/>
          <w:lang w:val="fr-FR"/>
        </w:rPr>
        <w:t>du</w:t>
      </w:r>
      <w:r w:rsidRPr="00A86354" w:rsidR="00482BC8">
        <w:rPr>
          <w:rFonts w:cs="Arial"/>
          <w:lang w:val="fr-FR"/>
        </w:rPr>
        <w:t xml:space="preserve"> 11</w:t>
      </w:r>
      <w:r w:rsidRPr="00A86354" w:rsidR="00836719">
        <w:rPr>
          <w:rFonts w:cs="Arial"/>
          <w:lang w:val="fr-FR"/>
        </w:rPr>
        <w:t> </w:t>
      </w:r>
      <w:r w:rsidRPr="00A86354" w:rsidR="002F3CD1">
        <w:rPr>
          <w:rFonts w:cs="Arial"/>
          <w:lang w:val="fr-FR"/>
        </w:rPr>
        <w:t>février</w:t>
      </w:r>
      <w:r w:rsidRPr="00A86354" w:rsidR="00482BC8">
        <w:rPr>
          <w:rFonts w:cs="Arial"/>
          <w:lang w:val="fr-FR"/>
        </w:rPr>
        <w:t xml:space="preserve"> 2005 </w:t>
      </w:r>
      <w:r w:rsidRPr="00A86354" w:rsidR="002F3CD1">
        <w:rPr>
          <w:rFonts w:cs="Arial"/>
          <w:lang w:val="fr-FR"/>
        </w:rPr>
        <w:t>pour l</w:t>
      </w:r>
      <w:r w:rsidRPr="00A86354" w:rsidR="0006032C">
        <w:rPr>
          <w:rFonts w:cs="Arial"/>
          <w:lang w:val="fr-FR"/>
        </w:rPr>
        <w:t>’</w:t>
      </w:r>
      <w:r w:rsidRPr="00A86354" w:rsidR="002F3CD1">
        <w:rPr>
          <w:rFonts w:cs="Arial"/>
          <w:lang w:val="fr-FR"/>
        </w:rPr>
        <w:t>égalité des droits et des chances, la participation et la citoyenneté des personnes handicapées (</w:t>
      </w:r>
      <w:r w:rsidRPr="00A86354" w:rsidR="000807D5">
        <w:rPr>
          <w:rFonts w:cs="Arial"/>
          <w:lang w:val="fr-FR"/>
        </w:rPr>
        <w:t>« </w:t>
      </w:r>
      <w:r w:rsidRPr="00A86354" w:rsidR="00836719">
        <w:rPr>
          <w:rFonts w:cs="Arial"/>
          <w:lang w:val="fr-FR"/>
        </w:rPr>
        <w:t xml:space="preserve">la </w:t>
      </w:r>
      <w:r w:rsidRPr="00A86354" w:rsidR="002F3CD1">
        <w:rPr>
          <w:rFonts w:cs="Arial"/>
          <w:lang w:val="fr-FR"/>
        </w:rPr>
        <w:t xml:space="preserve">loi de </w:t>
      </w:r>
      <w:r w:rsidRPr="00A86354" w:rsidR="00B60321">
        <w:rPr>
          <w:rFonts w:cs="Arial"/>
          <w:lang w:val="fr-FR"/>
        </w:rPr>
        <w:t>2005</w:t>
      </w:r>
      <w:r w:rsidRPr="00A86354" w:rsidR="000807D5">
        <w:rPr>
          <w:rFonts w:cs="Arial"/>
          <w:lang w:val="fr-FR"/>
        </w:rPr>
        <w:t> »</w:t>
      </w:r>
      <w:r w:rsidRPr="00A86354" w:rsidR="002F3CD1">
        <w:rPr>
          <w:rFonts w:cs="Arial"/>
          <w:lang w:val="fr-FR"/>
        </w:rPr>
        <w:t>)</w:t>
      </w:r>
      <w:r w:rsidRPr="00A86354" w:rsidR="00482BC8">
        <w:rPr>
          <w:rFonts w:cs="Arial"/>
          <w:lang w:val="fr-FR"/>
        </w:rPr>
        <w:t xml:space="preserve"> </w:t>
      </w:r>
      <w:r w:rsidRPr="00A86354" w:rsidR="002F3CD1">
        <w:rPr>
          <w:rFonts w:cs="Arial"/>
          <w:lang w:val="fr-FR"/>
        </w:rPr>
        <w:t>a créé une obligation pour les acteurs publics et privés de rendre les locaux et installations (neufs mais aussi déjà existants) accessibles à tous dans un délai de dix ans</w:t>
      </w:r>
      <w:r w:rsidRPr="00A86354" w:rsidR="00482BC8">
        <w:rPr>
          <w:rFonts w:cs="Arial"/>
          <w:lang w:val="fr-FR"/>
        </w:rPr>
        <w:t xml:space="preserve">. </w:t>
      </w:r>
      <w:r w:rsidRPr="00A86354" w:rsidR="002F3CD1">
        <w:rPr>
          <w:rFonts w:cs="Arial"/>
          <w:lang w:val="fr-FR"/>
        </w:rPr>
        <w:t>Cet objectif n</w:t>
      </w:r>
      <w:r w:rsidRPr="00A86354" w:rsidR="0006032C">
        <w:rPr>
          <w:rFonts w:cs="Arial"/>
          <w:lang w:val="fr-FR"/>
        </w:rPr>
        <w:t>’</w:t>
      </w:r>
      <w:r w:rsidRPr="00A86354" w:rsidR="002F3CD1">
        <w:rPr>
          <w:rFonts w:cs="Arial"/>
          <w:lang w:val="fr-FR"/>
        </w:rPr>
        <w:t>ayant pas été atteint</w:t>
      </w:r>
      <w:r w:rsidRPr="00A86354" w:rsidR="00482BC8">
        <w:rPr>
          <w:rFonts w:cs="Arial"/>
          <w:lang w:val="fr-FR"/>
        </w:rPr>
        <w:t>,</w:t>
      </w:r>
      <w:r w:rsidRPr="00A86354" w:rsidR="002F3CD1">
        <w:rPr>
          <w:rFonts w:cs="Arial"/>
          <w:lang w:val="fr-FR"/>
        </w:rPr>
        <w:t xml:space="preserve"> la loi n°</w:t>
      </w:r>
      <w:r w:rsidRPr="00A86354" w:rsidR="00482BC8">
        <w:rPr>
          <w:rFonts w:cs="Arial"/>
          <w:lang w:val="fr-FR"/>
        </w:rPr>
        <w:t xml:space="preserve"> 2015-988 </w:t>
      </w:r>
      <w:r w:rsidRPr="00A86354" w:rsidR="002F3CD1">
        <w:rPr>
          <w:rFonts w:cs="Arial"/>
          <w:lang w:val="fr-FR"/>
        </w:rPr>
        <w:t>du</w:t>
      </w:r>
      <w:r w:rsidRPr="00A86354" w:rsidR="00482BC8">
        <w:rPr>
          <w:rFonts w:cs="Arial"/>
          <w:lang w:val="fr-FR"/>
        </w:rPr>
        <w:t xml:space="preserve"> 5 </w:t>
      </w:r>
      <w:r w:rsidRPr="00A86354" w:rsidR="002F3CD1">
        <w:rPr>
          <w:rFonts w:cs="Arial"/>
          <w:lang w:val="fr-FR"/>
        </w:rPr>
        <w:t>août</w:t>
      </w:r>
      <w:r w:rsidRPr="00A86354" w:rsidR="00482BC8">
        <w:rPr>
          <w:rFonts w:cs="Arial"/>
          <w:lang w:val="fr-FR"/>
        </w:rPr>
        <w:t xml:space="preserve"> 2015 </w:t>
      </w:r>
      <w:r w:rsidRPr="00A86354" w:rsidR="002F3CD1">
        <w:rPr>
          <w:rFonts w:cs="Arial"/>
          <w:lang w:val="fr-FR"/>
        </w:rPr>
        <w:t>a reporté d</w:t>
      </w:r>
      <w:r w:rsidRPr="00A86354" w:rsidR="0006032C">
        <w:rPr>
          <w:rFonts w:cs="Arial"/>
          <w:lang w:val="fr-FR"/>
        </w:rPr>
        <w:t>’</w:t>
      </w:r>
      <w:r w:rsidRPr="00A86354" w:rsidR="002F3CD1">
        <w:rPr>
          <w:rFonts w:cs="Arial"/>
          <w:lang w:val="fr-FR"/>
        </w:rPr>
        <w:t>une durée pouvant aller jusqu</w:t>
      </w:r>
      <w:r w:rsidRPr="00A86354" w:rsidR="0006032C">
        <w:rPr>
          <w:rFonts w:cs="Arial"/>
          <w:lang w:val="fr-FR"/>
        </w:rPr>
        <w:t>’</w:t>
      </w:r>
      <w:r w:rsidRPr="00A86354" w:rsidR="002F3CD1">
        <w:rPr>
          <w:rFonts w:cs="Arial"/>
          <w:lang w:val="fr-FR"/>
        </w:rPr>
        <w:t>à neuf ans le délai de la mise en accessibilité de toutes les infrastructures et de tous les transports, et a introduit plusieurs dérogations et exceptions, y compris pour les nouveaux bâtiments publics. Ainsi, au 1</w:t>
      </w:r>
      <w:r w:rsidRPr="00A86354" w:rsidR="002F3CD1">
        <w:rPr>
          <w:rFonts w:cs="Arial"/>
          <w:vertAlign w:val="superscript"/>
          <w:lang w:val="fr-FR"/>
        </w:rPr>
        <w:t>er</w:t>
      </w:r>
      <w:r w:rsidRPr="00A86354" w:rsidR="002F3CD1">
        <w:rPr>
          <w:rFonts w:cs="Arial"/>
          <w:lang w:val="fr-FR"/>
        </w:rPr>
        <w:t xml:space="preserve"> mai 2016, sur</w:t>
      </w:r>
      <w:r w:rsidRPr="00A86354" w:rsidR="002F3CD1">
        <w:rPr>
          <w:rFonts w:ascii="Times New Roman" w:hAnsi="Times New Roman" w:eastAsiaTheme="minorHAnsi"/>
          <w:i/>
          <w:iCs/>
          <w:color w:val="000000"/>
          <w:sz w:val="22"/>
          <w:szCs w:val="22"/>
          <w:lang w:val="fr-FR" w:eastAsia="en-US"/>
        </w:rPr>
        <w:t xml:space="preserve"> </w:t>
      </w:r>
      <w:r w:rsidRPr="00A86354" w:rsidR="002F3CD1">
        <w:rPr>
          <w:rFonts w:cs="Arial"/>
          <w:lang w:val="fr-FR"/>
        </w:rPr>
        <w:t>plus d</w:t>
      </w:r>
      <w:r w:rsidRPr="00A86354" w:rsidR="0006032C">
        <w:rPr>
          <w:rFonts w:cs="Arial"/>
          <w:lang w:val="fr-FR"/>
        </w:rPr>
        <w:t>’</w:t>
      </w:r>
      <w:r w:rsidRPr="00A86354" w:rsidR="002F3CD1">
        <w:rPr>
          <w:rFonts w:cs="Arial"/>
          <w:lang w:val="fr-FR"/>
        </w:rPr>
        <w:t>un million d</w:t>
      </w:r>
      <w:r w:rsidRPr="00A86354" w:rsidR="0006032C">
        <w:rPr>
          <w:rFonts w:cs="Arial"/>
          <w:lang w:val="fr-FR"/>
        </w:rPr>
        <w:t>’</w:t>
      </w:r>
      <w:r w:rsidRPr="00A86354" w:rsidR="002F3CD1">
        <w:rPr>
          <w:rFonts w:cs="Arial"/>
          <w:lang w:val="fr-FR"/>
        </w:rPr>
        <w:t>établissements recevant du public</w:t>
      </w:r>
      <w:r w:rsidRPr="00A86354" w:rsidR="008148C6">
        <w:rPr>
          <w:rFonts w:cs="Arial"/>
          <w:lang w:val="fr-FR"/>
        </w:rPr>
        <w:t xml:space="preserve"> (</w:t>
      </w:r>
      <w:r w:rsidRPr="00A86354" w:rsidR="002F3CD1">
        <w:rPr>
          <w:rFonts w:cs="Arial"/>
          <w:lang w:val="fr-FR"/>
        </w:rPr>
        <w:t>ERP), seuls 300</w:t>
      </w:r>
      <w:r w:rsidRPr="00A86354" w:rsidR="00305EDB">
        <w:rPr>
          <w:rFonts w:cs="Arial"/>
          <w:lang w:val="fr-FR"/>
        </w:rPr>
        <w:t xml:space="preserve"> </w:t>
      </w:r>
      <w:r w:rsidRPr="00A86354" w:rsidR="002F3CD1">
        <w:rPr>
          <w:rFonts w:cs="Arial"/>
          <w:lang w:val="fr-FR"/>
        </w:rPr>
        <w:t>000 étaient accessibles</w:t>
      </w:r>
      <w:r w:rsidRPr="00A86354" w:rsidR="00526193">
        <w:rPr>
          <w:rFonts w:cs="Arial"/>
          <w:lang w:val="fr-FR"/>
        </w:rPr>
        <w:t xml:space="preserve">. </w:t>
      </w:r>
      <w:r w:rsidRPr="00A86354" w:rsidR="002F3CD1">
        <w:rPr>
          <w:rFonts w:cs="Arial"/>
          <w:lang w:val="fr-FR"/>
        </w:rPr>
        <w:t>La</w:t>
      </w:r>
      <w:r w:rsidRPr="00A86354" w:rsidR="00526193">
        <w:rPr>
          <w:rFonts w:cs="Arial"/>
          <w:lang w:val="fr-FR"/>
        </w:rPr>
        <w:t xml:space="preserve"> CNCDH </w:t>
      </w:r>
      <w:r w:rsidRPr="00A86354" w:rsidR="002F3CD1">
        <w:rPr>
          <w:rFonts w:cs="Arial"/>
          <w:lang w:val="fr-FR"/>
        </w:rPr>
        <w:t>souligne en outre que les</w:t>
      </w:r>
      <w:r w:rsidRPr="00A86354" w:rsidR="00526193">
        <w:rPr>
          <w:rFonts w:cs="Arial"/>
          <w:lang w:val="fr-FR"/>
        </w:rPr>
        <w:t xml:space="preserve"> </w:t>
      </w:r>
      <w:r w:rsidRPr="00A86354" w:rsidR="002F3CD1">
        <w:rPr>
          <w:rFonts w:cs="Arial"/>
          <w:lang w:val="fr-FR"/>
        </w:rPr>
        <w:t>communes françaises de moins de 1</w:t>
      </w:r>
      <w:r w:rsidRPr="00A86354" w:rsidR="008148C6">
        <w:rPr>
          <w:rFonts w:cs="Arial"/>
          <w:lang w:val="fr-FR"/>
        </w:rPr>
        <w:t> 000 </w:t>
      </w:r>
      <w:r w:rsidRPr="00A86354" w:rsidR="002F3CD1">
        <w:rPr>
          <w:rFonts w:cs="Arial"/>
          <w:lang w:val="fr-FR"/>
        </w:rPr>
        <w:t>habitants sont exemptées d</w:t>
      </w:r>
      <w:r w:rsidRPr="00A86354" w:rsidR="0006032C">
        <w:rPr>
          <w:rFonts w:cs="Arial"/>
          <w:lang w:val="fr-FR"/>
        </w:rPr>
        <w:t>’</w:t>
      </w:r>
      <w:r w:rsidRPr="00A86354" w:rsidR="002F3CD1">
        <w:rPr>
          <w:rFonts w:cs="Arial"/>
          <w:lang w:val="fr-FR"/>
        </w:rPr>
        <w:t>obligation en matière d</w:t>
      </w:r>
      <w:r w:rsidRPr="00A86354" w:rsidR="0006032C">
        <w:rPr>
          <w:rFonts w:cs="Arial"/>
          <w:lang w:val="fr-FR"/>
        </w:rPr>
        <w:t>’</w:t>
      </w:r>
      <w:r w:rsidRPr="00A86354" w:rsidR="002F3CD1">
        <w:rPr>
          <w:rFonts w:cs="Arial"/>
          <w:lang w:val="fr-FR"/>
        </w:rPr>
        <w:t>accessibilité</w:t>
      </w:r>
      <w:r w:rsidRPr="00A86354" w:rsidR="00526193">
        <w:rPr>
          <w:rFonts w:cs="Arial"/>
          <w:lang w:val="fr-FR"/>
        </w:rPr>
        <w:t xml:space="preserve">. </w:t>
      </w:r>
    </w:p>
    <w:p w:rsidRPr="00A86354" w:rsidR="00526193" w:rsidP="00526193" w:rsidRDefault="00526193" w14:paraId="486A44E4" w14:textId="77777777">
      <w:pPr>
        <w:pStyle w:val="ListParagraph"/>
        <w:ind w:left="360"/>
        <w:rPr>
          <w:rFonts w:cs="Arial"/>
          <w:lang w:val="fr-FR"/>
        </w:rPr>
      </w:pPr>
    </w:p>
    <w:p w:rsidRPr="00A86354" w:rsidR="00AB391A" w:rsidP="00CE016A" w:rsidRDefault="009142E5" w14:paraId="6AC6B4AF" w14:textId="4DD0BD71">
      <w:pPr>
        <w:pStyle w:val="ListParagraph"/>
        <w:numPr>
          <w:ilvl w:val="0"/>
          <w:numId w:val="1"/>
        </w:numPr>
        <w:tabs>
          <w:tab w:val="left" w:pos="709"/>
        </w:tabs>
        <w:ind w:left="0" w:firstLine="0"/>
        <w:rPr>
          <w:rFonts w:cs="Arial"/>
          <w:lang w:val="fr-FR"/>
        </w:rPr>
      </w:pPr>
      <w:r w:rsidRPr="00A86354">
        <w:rPr>
          <w:rFonts w:cs="Arial"/>
          <w:lang w:val="fr-FR"/>
        </w:rPr>
        <w:t xml:space="preserve">Selon la </w:t>
      </w:r>
      <w:r w:rsidRPr="00A86354" w:rsidR="00053B84">
        <w:rPr>
          <w:rFonts w:cs="Arial"/>
          <w:lang w:val="fr-FR"/>
        </w:rPr>
        <w:t xml:space="preserve">CNCDH, </w:t>
      </w:r>
      <w:r w:rsidRPr="00A86354" w:rsidR="002F3CD1">
        <w:rPr>
          <w:rFonts w:cs="Arial"/>
          <w:lang w:val="fr-FR"/>
        </w:rPr>
        <w:t>la loi n° </w:t>
      </w:r>
      <w:r w:rsidRPr="00A86354" w:rsidR="00AB391A">
        <w:rPr>
          <w:rFonts w:cs="Arial"/>
          <w:lang w:val="fr-FR"/>
        </w:rPr>
        <w:t xml:space="preserve">2018-1021 </w:t>
      </w:r>
      <w:r w:rsidRPr="00A86354" w:rsidR="002F3CD1">
        <w:rPr>
          <w:rFonts w:cs="Arial"/>
          <w:lang w:val="fr-FR"/>
        </w:rPr>
        <w:t>du 23 novembre 2018</w:t>
      </w:r>
      <w:r w:rsidRPr="00A86354" w:rsidR="002F3CD1">
        <w:rPr>
          <w:rFonts w:cs="Arial"/>
          <w:color w:val="4D5156"/>
          <w:sz w:val="21"/>
          <w:szCs w:val="21"/>
          <w:shd w:val="clear" w:color="auto" w:fill="FFFFFF"/>
          <w:lang w:val="fr-FR"/>
        </w:rPr>
        <w:t xml:space="preserve"> </w:t>
      </w:r>
      <w:r w:rsidRPr="00A86354" w:rsidR="002F3CD1">
        <w:rPr>
          <w:rFonts w:cs="Arial"/>
          <w:lang w:val="fr-FR"/>
        </w:rPr>
        <w:t>portant évolution du logement, de l</w:t>
      </w:r>
      <w:r w:rsidRPr="00A86354" w:rsidR="0006032C">
        <w:rPr>
          <w:rFonts w:cs="Arial"/>
          <w:lang w:val="fr-FR"/>
        </w:rPr>
        <w:t>’</w:t>
      </w:r>
      <w:r w:rsidRPr="00A86354" w:rsidR="002F3CD1">
        <w:rPr>
          <w:rFonts w:cs="Arial"/>
          <w:lang w:val="fr-FR"/>
        </w:rPr>
        <w:t>aménagement et du numérique, dite loi ELAN</w:t>
      </w:r>
      <w:r w:rsidRPr="00A86354" w:rsidR="00D14C7E">
        <w:rPr>
          <w:rFonts w:cs="Arial"/>
          <w:lang w:val="fr-FR"/>
        </w:rPr>
        <w:t>,</w:t>
      </w:r>
      <w:r w:rsidRPr="00A86354" w:rsidR="002F3CD1">
        <w:rPr>
          <w:rFonts w:cs="Arial"/>
          <w:lang w:val="fr-FR"/>
        </w:rPr>
        <w:t xml:space="preserve"> n</w:t>
      </w:r>
      <w:r w:rsidRPr="00A86354" w:rsidR="0006032C">
        <w:rPr>
          <w:rFonts w:cs="Arial"/>
          <w:lang w:val="fr-FR"/>
        </w:rPr>
        <w:t>’</w:t>
      </w:r>
      <w:r w:rsidRPr="00A86354" w:rsidR="002F3CD1">
        <w:rPr>
          <w:rFonts w:cs="Arial"/>
          <w:lang w:val="fr-FR"/>
        </w:rPr>
        <w:t>a fait qu</w:t>
      </w:r>
      <w:r w:rsidRPr="00A86354" w:rsidR="0006032C">
        <w:rPr>
          <w:rFonts w:cs="Arial"/>
          <w:lang w:val="fr-FR"/>
        </w:rPr>
        <w:t>’</w:t>
      </w:r>
      <w:r w:rsidRPr="00A86354" w:rsidR="002F3CD1">
        <w:rPr>
          <w:rFonts w:cs="Arial"/>
          <w:lang w:val="fr-FR"/>
        </w:rPr>
        <w:t>aggraver la situation, en faisant passer le devoir de 100 % d</w:t>
      </w:r>
      <w:r w:rsidRPr="00A86354" w:rsidR="0006032C">
        <w:rPr>
          <w:rFonts w:cs="Arial"/>
          <w:lang w:val="fr-FR"/>
        </w:rPr>
        <w:t>’</w:t>
      </w:r>
      <w:r w:rsidRPr="00A86354" w:rsidR="002F3CD1">
        <w:rPr>
          <w:rFonts w:cs="Arial"/>
          <w:lang w:val="fr-FR"/>
        </w:rPr>
        <w:t>accessibilité dans les nouvelles infrastructures à seulement 20 %</w:t>
      </w:r>
      <w:r w:rsidRPr="00A86354" w:rsidR="003300DC">
        <w:rPr>
          <w:rFonts w:cs="Arial"/>
          <w:lang w:val="fr-FR"/>
        </w:rPr>
        <w:t>, ce qui</w:t>
      </w:r>
      <w:r w:rsidRPr="00A86354" w:rsidR="002F3CD1">
        <w:rPr>
          <w:rFonts w:cs="Arial"/>
          <w:lang w:val="fr-FR"/>
        </w:rPr>
        <w:t xml:space="preserve"> remet en cause le principe d</w:t>
      </w:r>
      <w:r w:rsidRPr="00A86354" w:rsidR="0006032C">
        <w:rPr>
          <w:rFonts w:cs="Arial"/>
          <w:lang w:val="fr-FR"/>
        </w:rPr>
        <w:t>’</w:t>
      </w:r>
      <w:r w:rsidRPr="00A86354" w:rsidR="002F3CD1">
        <w:rPr>
          <w:rFonts w:cs="Arial"/>
          <w:lang w:val="fr-FR"/>
        </w:rPr>
        <w:t>accessibilité universelle</w:t>
      </w:r>
      <w:r w:rsidRPr="00A86354" w:rsidR="002F3CD1">
        <w:rPr>
          <w:rFonts w:cs="Arial"/>
          <w:i/>
          <w:iCs/>
          <w:lang w:val="fr-FR"/>
        </w:rPr>
        <w:t xml:space="preserve"> </w:t>
      </w:r>
      <w:r w:rsidRPr="00A86354" w:rsidR="003300DC">
        <w:rPr>
          <w:rFonts w:cs="Arial"/>
          <w:lang w:val="fr-FR"/>
        </w:rPr>
        <w:t>et prive les personnes en situation de handicap de l</w:t>
      </w:r>
      <w:r w:rsidRPr="00A86354" w:rsidR="0006032C">
        <w:rPr>
          <w:rFonts w:cs="Arial"/>
          <w:lang w:val="fr-FR"/>
        </w:rPr>
        <w:t>’</w:t>
      </w:r>
      <w:r w:rsidRPr="00A86354" w:rsidR="003300DC">
        <w:rPr>
          <w:rFonts w:cs="Arial"/>
          <w:lang w:val="fr-FR"/>
        </w:rPr>
        <w:t>autonomie à laquelle elles ont droit.</w:t>
      </w:r>
      <w:r w:rsidRPr="00A86354" w:rsidR="00AB391A">
        <w:rPr>
          <w:rFonts w:cs="Arial"/>
          <w:lang w:val="fr-FR"/>
        </w:rPr>
        <w:t xml:space="preserve"> </w:t>
      </w:r>
      <w:r w:rsidRPr="00A86354" w:rsidR="00526193">
        <w:rPr>
          <w:rFonts w:cs="Arial"/>
          <w:lang w:val="fr-FR"/>
        </w:rPr>
        <w:t xml:space="preserve"> </w:t>
      </w:r>
      <w:r w:rsidRPr="00A86354" w:rsidR="00482BC8">
        <w:rPr>
          <w:rFonts w:cs="Arial"/>
          <w:lang w:val="fr-FR"/>
        </w:rPr>
        <w:t xml:space="preserve"> </w:t>
      </w:r>
    </w:p>
    <w:p w:rsidRPr="00A86354" w:rsidR="00AB391A" w:rsidP="00AB391A" w:rsidRDefault="00AB391A" w14:paraId="640E8905" w14:textId="57AA4395">
      <w:pPr>
        <w:pStyle w:val="ListParagraph"/>
        <w:ind w:left="360"/>
        <w:rPr>
          <w:rFonts w:cs="Arial"/>
          <w:lang w:val="fr-FR"/>
        </w:rPr>
      </w:pPr>
    </w:p>
    <w:p w:rsidRPr="00A86354" w:rsidR="001243BD" w:rsidP="001243BD" w:rsidRDefault="003300DC" w14:paraId="39EF9467" w14:textId="6C8F7626">
      <w:pPr>
        <w:pStyle w:val="ListParagraph"/>
        <w:ind w:left="360" w:hanging="360"/>
        <w:rPr>
          <w:rFonts w:cs="Arial"/>
          <w:i/>
          <w:iCs/>
          <w:lang w:val="fr-FR"/>
        </w:rPr>
      </w:pPr>
      <w:r w:rsidRPr="00A86354">
        <w:rPr>
          <w:rFonts w:cs="Arial"/>
          <w:i/>
          <w:iCs/>
          <w:lang w:val="fr-FR"/>
        </w:rPr>
        <w:t>Accessibilité des transports urbains et interurbains</w:t>
      </w:r>
    </w:p>
    <w:p w:rsidRPr="00A86354" w:rsidR="001243BD" w:rsidP="00AB391A" w:rsidRDefault="001243BD" w14:paraId="71C04111" w14:textId="77777777">
      <w:pPr>
        <w:pStyle w:val="ListParagraph"/>
        <w:ind w:left="360"/>
        <w:rPr>
          <w:rFonts w:cs="Arial"/>
          <w:lang w:val="fr-FR"/>
        </w:rPr>
      </w:pPr>
    </w:p>
    <w:p w:rsidRPr="00A86354" w:rsidR="008F0F3F" w:rsidP="00CE016A" w:rsidRDefault="003300DC" w14:paraId="735AC32E" w14:textId="1A20925A">
      <w:pPr>
        <w:pStyle w:val="ListParagraph"/>
        <w:numPr>
          <w:ilvl w:val="0"/>
          <w:numId w:val="1"/>
        </w:numPr>
        <w:ind w:left="0" w:firstLine="0"/>
        <w:rPr>
          <w:rFonts w:cs="Arial"/>
          <w:lang w:val="fr-FR"/>
        </w:rPr>
      </w:pPr>
      <w:r w:rsidRPr="00A86354">
        <w:rPr>
          <w:rFonts w:cs="Arial"/>
          <w:lang w:val="fr-FR"/>
        </w:rPr>
        <w:t>Concernant</w:t>
      </w:r>
      <w:r w:rsidRPr="00A86354" w:rsidR="00D31582">
        <w:rPr>
          <w:rFonts w:cs="Arial"/>
          <w:lang w:val="fr-FR"/>
        </w:rPr>
        <w:t xml:space="preserve"> </w:t>
      </w:r>
      <w:r w:rsidRPr="00A86354">
        <w:rPr>
          <w:rFonts w:cs="Arial"/>
          <w:lang w:val="fr-FR"/>
        </w:rPr>
        <w:t>les</w:t>
      </w:r>
      <w:r w:rsidRPr="00A86354" w:rsidR="00D31582">
        <w:rPr>
          <w:rFonts w:cs="Arial"/>
          <w:lang w:val="fr-FR"/>
        </w:rPr>
        <w:t xml:space="preserve"> </w:t>
      </w:r>
      <w:r w:rsidRPr="00A86354">
        <w:rPr>
          <w:rFonts w:cs="Arial"/>
          <w:lang w:val="fr-FR"/>
        </w:rPr>
        <w:t>transports urbains et interurbains</w:t>
      </w:r>
      <w:r w:rsidRPr="00A86354" w:rsidR="003D69C7">
        <w:rPr>
          <w:rFonts w:cs="Arial"/>
          <w:lang w:val="fr-FR"/>
        </w:rPr>
        <w:t xml:space="preserve">, </w:t>
      </w:r>
      <w:r w:rsidRPr="00A86354">
        <w:rPr>
          <w:rFonts w:cs="Arial"/>
          <w:lang w:val="fr-FR"/>
        </w:rPr>
        <w:t>la</w:t>
      </w:r>
      <w:r w:rsidRPr="00A86354" w:rsidR="003D69C7">
        <w:rPr>
          <w:rFonts w:cs="Arial"/>
          <w:lang w:val="fr-FR"/>
        </w:rPr>
        <w:t xml:space="preserve"> CNCDH observe</w:t>
      </w:r>
      <w:r w:rsidRPr="00A86354">
        <w:rPr>
          <w:rFonts w:cs="Arial"/>
          <w:lang w:val="fr-FR"/>
        </w:rPr>
        <w:t xml:space="preserve"> que,</w:t>
      </w:r>
      <w:r w:rsidRPr="00A86354" w:rsidR="003D69C7">
        <w:rPr>
          <w:rFonts w:cs="Arial"/>
          <w:lang w:val="fr-FR"/>
        </w:rPr>
        <w:t xml:space="preserve"> </w:t>
      </w:r>
      <w:r w:rsidRPr="00A86354">
        <w:rPr>
          <w:rFonts w:cs="Arial"/>
          <w:lang w:val="fr-FR"/>
        </w:rPr>
        <w:t>malgré la réalisation d</w:t>
      </w:r>
      <w:r w:rsidRPr="00A86354" w:rsidR="0006032C">
        <w:rPr>
          <w:rFonts w:cs="Arial"/>
          <w:lang w:val="fr-FR"/>
        </w:rPr>
        <w:t>’</w:t>
      </w:r>
      <w:r w:rsidRPr="00A86354">
        <w:rPr>
          <w:rFonts w:cs="Arial"/>
          <w:lang w:val="fr-FR"/>
        </w:rPr>
        <w:t>un certain nombre de progrès à cet égard depuis la mise en place des Schémas directeurs d</w:t>
      </w:r>
      <w:r w:rsidRPr="00A86354" w:rsidR="0006032C">
        <w:rPr>
          <w:rFonts w:cs="Arial"/>
          <w:lang w:val="fr-FR"/>
        </w:rPr>
        <w:t>’</w:t>
      </w:r>
      <w:r w:rsidRPr="00A86354">
        <w:rPr>
          <w:rFonts w:cs="Arial"/>
          <w:lang w:val="fr-FR"/>
        </w:rPr>
        <w:t>accessibilité (SD</w:t>
      </w:r>
      <w:r w:rsidRPr="00A86354" w:rsidR="0006032C">
        <w:rPr>
          <w:rFonts w:cs="Arial"/>
          <w:lang w:val="fr-FR"/>
        </w:rPr>
        <w:t>’</w:t>
      </w:r>
      <w:r w:rsidRPr="00A86354">
        <w:rPr>
          <w:rFonts w:cs="Arial"/>
          <w:lang w:val="fr-FR"/>
        </w:rPr>
        <w:t>AP) en</w:t>
      </w:r>
      <w:r w:rsidRPr="00A86354" w:rsidR="003D69C7">
        <w:rPr>
          <w:rFonts w:cs="Arial"/>
          <w:lang w:val="fr-FR"/>
        </w:rPr>
        <w:t xml:space="preserve"> 2015,</w:t>
      </w:r>
      <w:r w:rsidRPr="00A86354">
        <w:rPr>
          <w:rFonts w:ascii="Times New Roman" w:hAnsi="Times New Roman" w:eastAsiaTheme="minorHAnsi"/>
          <w:color w:val="000000"/>
          <w:sz w:val="22"/>
          <w:szCs w:val="22"/>
          <w:lang w:val="fr-FR" w:eastAsia="en-US"/>
        </w:rPr>
        <w:t xml:space="preserve"> </w:t>
      </w:r>
      <w:r w:rsidRPr="00A86354">
        <w:rPr>
          <w:rFonts w:cs="Arial"/>
          <w:lang w:val="fr-FR"/>
        </w:rPr>
        <w:t>trop de dysfonctionnements persistent et les transports en commun sont loin d</w:t>
      </w:r>
      <w:r w:rsidRPr="00A86354" w:rsidR="0006032C">
        <w:rPr>
          <w:rFonts w:cs="Arial"/>
          <w:lang w:val="fr-FR"/>
        </w:rPr>
        <w:t>’</w:t>
      </w:r>
      <w:r w:rsidRPr="00A86354">
        <w:rPr>
          <w:rFonts w:cs="Arial"/>
          <w:lang w:val="fr-FR"/>
        </w:rPr>
        <w:t>être tous accessibles. À titre d</w:t>
      </w:r>
      <w:r w:rsidRPr="00A86354" w:rsidR="0006032C">
        <w:rPr>
          <w:rFonts w:cs="Arial"/>
          <w:lang w:val="fr-FR"/>
        </w:rPr>
        <w:t>’</w:t>
      </w:r>
      <w:r w:rsidRPr="00A86354">
        <w:rPr>
          <w:rFonts w:cs="Arial"/>
          <w:lang w:val="fr-FR"/>
        </w:rPr>
        <w:t>exemple, si les bus parisiens sont désormais équipés pour les personnes à mobilité réduite, seules 3</w:t>
      </w:r>
      <w:r w:rsidRPr="00A86354" w:rsidR="00936CFA">
        <w:rPr>
          <w:rFonts w:cs="Arial"/>
          <w:lang w:val="fr-FR"/>
        </w:rPr>
        <w:t> </w:t>
      </w:r>
      <w:r w:rsidRPr="00A86354">
        <w:rPr>
          <w:rFonts w:cs="Arial"/>
          <w:lang w:val="fr-FR"/>
        </w:rPr>
        <w:t>% des stations de métro sont accessibles aux personnes à mobilité réduite à Paris</w:t>
      </w:r>
      <w:r w:rsidRPr="00A86354" w:rsidR="003D69C7">
        <w:rPr>
          <w:rFonts w:cs="Arial"/>
          <w:lang w:val="fr-FR"/>
        </w:rPr>
        <w:t xml:space="preserve">, </w:t>
      </w:r>
      <w:r w:rsidRPr="00A86354">
        <w:rPr>
          <w:rFonts w:cs="Arial"/>
          <w:lang w:val="fr-FR"/>
        </w:rPr>
        <w:t>les annonces vocales ne sont pas encore généralisées et seuls certains arrêts de bus dits prioritaires sont accessibles</w:t>
      </w:r>
      <w:r w:rsidRPr="00A86354" w:rsidR="003D69C7">
        <w:rPr>
          <w:rFonts w:cs="Arial"/>
          <w:lang w:val="fr-FR"/>
        </w:rPr>
        <w:t xml:space="preserve">. </w:t>
      </w:r>
      <w:r w:rsidRPr="00A86354">
        <w:rPr>
          <w:rFonts w:cs="Arial"/>
          <w:lang w:val="fr-FR"/>
        </w:rPr>
        <w:t>La</w:t>
      </w:r>
      <w:r w:rsidRPr="00A86354" w:rsidR="003D69C7">
        <w:rPr>
          <w:rFonts w:cs="Arial"/>
          <w:lang w:val="fr-FR"/>
        </w:rPr>
        <w:t xml:space="preserve"> CNCDH </w:t>
      </w:r>
      <w:r w:rsidRPr="00A86354">
        <w:rPr>
          <w:rFonts w:cs="Arial"/>
          <w:lang w:val="fr-FR"/>
        </w:rPr>
        <w:t>renvoie à cet égard au rapport</w:t>
      </w:r>
      <w:r w:rsidRPr="00A86354" w:rsidR="00B60321">
        <w:rPr>
          <w:rFonts w:cs="Arial"/>
          <w:lang w:val="fr-FR"/>
        </w:rPr>
        <w:t xml:space="preserve"> 2019</w:t>
      </w:r>
      <w:r w:rsidRPr="00A86354" w:rsidR="003D69C7">
        <w:rPr>
          <w:rFonts w:cs="Arial"/>
          <w:lang w:val="fr-FR"/>
        </w:rPr>
        <w:t xml:space="preserve"> </w:t>
      </w:r>
      <w:r w:rsidRPr="00A86354">
        <w:rPr>
          <w:rFonts w:cs="Arial"/>
          <w:lang w:val="fr-FR"/>
        </w:rPr>
        <w:t>de</w:t>
      </w:r>
      <w:r w:rsidRPr="00A86354">
        <w:rPr>
          <w:rFonts w:ascii="Times New Roman" w:hAnsi="Times New Roman" w:eastAsiaTheme="minorHAnsi"/>
          <w:color w:val="000000"/>
          <w:lang w:val="fr-FR" w:eastAsia="en-US"/>
        </w:rPr>
        <w:t xml:space="preserve"> </w:t>
      </w:r>
      <w:r w:rsidRPr="00A86354">
        <w:rPr>
          <w:rFonts w:cs="Arial"/>
          <w:lang w:val="fr-FR"/>
        </w:rPr>
        <w:t>la Rapporteu</w:t>
      </w:r>
      <w:r w:rsidRPr="00A86354" w:rsidR="00F11691">
        <w:rPr>
          <w:rFonts w:cs="Arial"/>
          <w:lang w:val="fr-FR"/>
        </w:rPr>
        <w:t>s</w:t>
      </w:r>
      <w:r w:rsidRPr="00A86354">
        <w:rPr>
          <w:rFonts w:cs="Arial"/>
          <w:lang w:val="fr-FR"/>
        </w:rPr>
        <w:t>e spéciale de l</w:t>
      </w:r>
      <w:r w:rsidRPr="00A86354" w:rsidR="0006032C">
        <w:rPr>
          <w:rFonts w:cs="Arial"/>
          <w:lang w:val="fr-FR"/>
        </w:rPr>
        <w:t>’</w:t>
      </w:r>
      <w:r w:rsidRPr="00A86354">
        <w:rPr>
          <w:rFonts w:cs="Arial"/>
          <w:lang w:val="fr-FR"/>
        </w:rPr>
        <w:t>ONU sur les droits des personnes handicapées à l</w:t>
      </w:r>
      <w:r w:rsidRPr="00A86354" w:rsidR="0006032C">
        <w:rPr>
          <w:rFonts w:cs="Arial"/>
          <w:lang w:val="fr-FR"/>
        </w:rPr>
        <w:t>’</w:t>
      </w:r>
      <w:r w:rsidRPr="00A86354">
        <w:rPr>
          <w:rFonts w:cs="Arial"/>
          <w:lang w:val="fr-FR"/>
        </w:rPr>
        <w:t>issue de sa visite en</w:t>
      </w:r>
      <w:r w:rsidRPr="00A86354" w:rsidR="003D69C7">
        <w:rPr>
          <w:rFonts w:cs="Arial"/>
          <w:lang w:val="fr-FR"/>
        </w:rPr>
        <w:t xml:space="preserve"> France </w:t>
      </w:r>
      <w:r w:rsidRPr="00A86354">
        <w:rPr>
          <w:rFonts w:cs="Arial"/>
          <w:lang w:val="fr-FR"/>
        </w:rPr>
        <w:t>en</w:t>
      </w:r>
      <w:r w:rsidRPr="00A86354" w:rsidR="003D69C7">
        <w:rPr>
          <w:rFonts w:cs="Arial"/>
          <w:lang w:val="fr-FR"/>
        </w:rPr>
        <w:t xml:space="preserve"> </w:t>
      </w:r>
      <w:r w:rsidRPr="00A86354">
        <w:rPr>
          <w:rFonts w:cs="Arial"/>
          <w:lang w:val="fr-FR"/>
        </w:rPr>
        <w:t>octobre</w:t>
      </w:r>
      <w:r w:rsidRPr="00A86354" w:rsidR="003D69C7">
        <w:rPr>
          <w:rFonts w:cs="Arial"/>
          <w:lang w:val="fr-FR"/>
        </w:rPr>
        <w:t xml:space="preserve"> 2017 (A/HRC/40/54/Add.1), </w:t>
      </w:r>
      <w:r w:rsidRPr="00A86354">
        <w:rPr>
          <w:rFonts w:cs="Arial"/>
          <w:lang w:val="fr-FR"/>
        </w:rPr>
        <w:t>qui indique que</w:t>
      </w:r>
      <w:r w:rsidRPr="00A86354">
        <w:rPr>
          <w:rFonts w:ascii="Times New Roman" w:hAnsi="Times New Roman" w:eastAsiaTheme="minorHAnsi"/>
          <w:color w:val="000000"/>
          <w:sz w:val="22"/>
          <w:szCs w:val="22"/>
          <w:lang w:val="fr-FR" w:eastAsia="en-US"/>
        </w:rPr>
        <w:t xml:space="preserve"> </w:t>
      </w:r>
      <w:r w:rsidRPr="00A86354" w:rsidR="000807D5">
        <w:rPr>
          <w:rFonts w:cs="Arial"/>
          <w:lang w:val="fr-FR"/>
        </w:rPr>
        <w:t>« </w:t>
      </w:r>
      <w:r w:rsidRPr="00A86354">
        <w:rPr>
          <w:rFonts w:cs="Arial"/>
          <w:i/>
          <w:iCs/>
          <w:lang w:val="fr-FR"/>
        </w:rPr>
        <w:t>les difficultés d</w:t>
      </w:r>
      <w:r w:rsidRPr="00A86354" w:rsidR="0006032C">
        <w:rPr>
          <w:rFonts w:cs="Arial"/>
          <w:i/>
          <w:iCs/>
          <w:lang w:val="fr-FR"/>
        </w:rPr>
        <w:t>’</w:t>
      </w:r>
      <w:r w:rsidRPr="00A86354">
        <w:rPr>
          <w:rFonts w:cs="Arial"/>
          <w:i/>
          <w:iCs/>
          <w:lang w:val="fr-FR"/>
        </w:rPr>
        <w:t>accès aux transports publics sont un obstacle majeur qui compromet l</w:t>
      </w:r>
      <w:r w:rsidRPr="00A86354" w:rsidR="0006032C">
        <w:rPr>
          <w:rFonts w:cs="Arial"/>
          <w:i/>
          <w:iCs/>
          <w:lang w:val="fr-FR"/>
        </w:rPr>
        <w:t>’</w:t>
      </w:r>
      <w:r w:rsidRPr="00A86354">
        <w:rPr>
          <w:rFonts w:cs="Arial"/>
          <w:i/>
          <w:iCs/>
          <w:lang w:val="fr-FR"/>
        </w:rPr>
        <w:t>exercice du droit des personnes handicapées de vivre de façon indépendante et de participer pleinement à tous les aspects de la vie</w:t>
      </w:r>
      <w:r w:rsidRPr="00A86354" w:rsidR="000807D5">
        <w:rPr>
          <w:rFonts w:cs="Arial"/>
          <w:lang w:val="fr-FR"/>
        </w:rPr>
        <w:t> »</w:t>
      </w:r>
      <w:r w:rsidRPr="00A86354">
        <w:rPr>
          <w:rFonts w:cs="Arial"/>
          <w:lang w:val="fr-FR"/>
        </w:rPr>
        <w:t>.</w:t>
      </w:r>
      <w:r w:rsidRPr="00A86354" w:rsidR="003D69C7">
        <w:rPr>
          <w:rFonts w:cs="Arial"/>
          <w:lang w:val="fr-FR"/>
        </w:rPr>
        <w:t xml:space="preserve"> </w:t>
      </w:r>
      <w:r w:rsidRPr="00A86354" w:rsidR="00CF1AB9">
        <w:rPr>
          <w:rFonts w:cs="Arial"/>
          <w:lang w:val="fr-FR"/>
        </w:rPr>
        <w:t xml:space="preserve"> </w:t>
      </w:r>
      <w:r w:rsidRPr="00A86354" w:rsidR="003D69C7">
        <w:rPr>
          <w:rFonts w:cs="Arial"/>
          <w:lang w:val="fr-FR"/>
        </w:rPr>
        <w:t xml:space="preserve">   </w:t>
      </w:r>
    </w:p>
    <w:p w:rsidRPr="00A86354" w:rsidR="008F0F3F" w:rsidP="008F0F3F" w:rsidRDefault="008F0F3F" w14:paraId="749EA738" w14:textId="2300FC2B">
      <w:pPr>
        <w:pStyle w:val="ListParagraph"/>
        <w:rPr>
          <w:rFonts w:cs="Arial"/>
          <w:lang w:val="fr-FR"/>
        </w:rPr>
      </w:pPr>
    </w:p>
    <w:p w:rsidRPr="00A86354" w:rsidR="001243BD" w:rsidP="008F0F3F" w:rsidRDefault="001243BD" w14:paraId="77D6B703" w14:textId="4A766BD9">
      <w:pPr>
        <w:pStyle w:val="ListParagraph"/>
        <w:rPr>
          <w:rFonts w:cs="Arial"/>
          <w:i/>
          <w:iCs/>
          <w:lang w:val="fr-FR"/>
        </w:rPr>
      </w:pPr>
      <w:r w:rsidRPr="00A86354">
        <w:rPr>
          <w:rFonts w:cs="Arial"/>
          <w:i/>
          <w:iCs/>
          <w:lang w:val="fr-FR"/>
        </w:rPr>
        <w:t>Acc</w:t>
      </w:r>
      <w:r w:rsidRPr="00A86354" w:rsidR="003300DC">
        <w:rPr>
          <w:rFonts w:cs="Arial"/>
          <w:i/>
          <w:iCs/>
          <w:lang w:val="fr-FR"/>
        </w:rPr>
        <w:t>ès à l</w:t>
      </w:r>
      <w:r w:rsidRPr="00A86354" w:rsidR="0006032C">
        <w:rPr>
          <w:rFonts w:cs="Arial"/>
          <w:i/>
          <w:iCs/>
          <w:lang w:val="fr-FR"/>
        </w:rPr>
        <w:t>’</w:t>
      </w:r>
      <w:r w:rsidRPr="00A86354">
        <w:rPr>
          <w:rFonts w:cs="Arial"/>
          <w:i/>
          <w:iCs/>
          <w:lang w:val="fr-FR"/>
        </w:rPr>
        <w:t xml:space="preserve">information </w:t>
      </w:r>
    </w:p>
    <w:p w:rsidRPr="00A86354" w:rsidR="001243BD" w:rsidP="008F0F3F" w:rsidRDefault="001243BD" w14:paraId="1486BBF1" w14:textId="77777777">
      <w:pPr>
        <w:pStyle w:val="ListParagraph"/>
        <w:rPr>
          <w:rFonts w:cs="Arial"/>
          <w:lang w:val="fr-FR"/>
        </w:rPr>
      </w:pPr>
    </w:p>
    <w:p w:rsidRPr="00A86354" w:rsidR="00C02BE9" w:rsidP="00CE016A" w:rsidRDefault="003300DC" w14:paraId="441ADC33" w14:textId="6E9B5751">
      <w:pPr>
        <w:pStyle w:val="ListParagraph"/>
        <w:numPr>
          <w:ilvl w:val="0"/>
          <w:numId w:val="1"/>
        </w:numPr>
        <w:tabs>
          <w:tab w:val="left" w:pos="709"/>
        </w:tabs>
        <w:ind w:left="0" w:firstLine="0"/>
        <w:rPr>
          <w:rFonts w:cs="Arial"/>
          <w:lang w:val="fr-FR"/>
        </w:rPr>
      </w:pPr>
      <w:r w:rsidRPr="00A86354">
        <w:rPr>
          <w:rFonts w:cs="Arial"/>
          <w:lang w:val="fr-FR"/>
        </w:rPr>
        <w:t>Concernant l</w:t>
      </w:r>
      <w:r w:rsidRPr="00A86354" w:rsidR="0006032C">
        <w:rPr>
          <w:rFonts w:cs="Arial"/>
          <w:lang w:val="fr-FR"/>
        </w:rPr>
        <w:t>’</w:t>
      </w:r>
      <w:r w:rsidRPr="00A86354" w:rsidR="00511EF8">
        <w:rPr>
          <w:rFonts w:cs="Arial"/>
          <w:lang w:val="fr-FR"/>
        </w:rPr>
        <w:t>acc</w:t>
      </w:r>
      <w:r w:rsidRPr="00A86354">
        <w:rPr>
          <w:rFonts w:cs="Arial"/>
          <w:lang w:val="fr-FR"/>
        </w:rPr>
        <w:t>ès des personnes handicapées à l</w:t>
      </w:r>
      <w:r w:rsidRPr="00A86354" w:rsidR="0006032C">
        <w:rPr>
          <w:rFonts w:cs="Arial"/>
          <w:lang w:val="fr-FR"/>
        </w:rPr>
        <w:t>’</w:t>
      </w:r>
      <w:r w:rsidRPr="00A86354" w:rsidR="00511EF8">
        <w:rPr>
          <w:rFonts w:cs="Arial"/>
          <w:lang w:val="fr-FR"/>
        </w:rPr>
        <w:t xml:space="preserve">information, </w:t>
      </w:r>
      <w:r w:rsidRPr="00A86354">
        <w:rPr>
          <w:rFonts w:cs="Arial"/>
          <w:lang w:val="fr-FR"/>
        </w:rPr>
        <w:t>la</w:t>
      </w:r>
      <w:r w:rsidRPr="00A86354" w:rsidR="00511EF8">
        <w:rPr>
          <w:rFonts w:cs="Arial"/>
          <w:lang w:val="fr-FR"/>
        </w:rPr>
        <w:t xml:space="preserve"> CNCDH </w:t>
      </w:r>
      <w:r w:rsidRPr="00A86354">
        <w:rPr>
          <w:rFonts w:cs="Arial"/>
          <w:lang w:val="fr-FR"/>
        </w:rPr>
        <w:t xml:space="preserve">indique que, bien que la loi de </w:t>
      </w:r>
      <w:r w:rsidRPr="00A86354" w:rsidR="00B60321">
        <w:rPr>
          <w:rFonts w:cs="Arial"/>
          <w:lang w:val="fr-FR"/>
        </w:rPr>
        <w:t xml:space="preserve">2005 </w:t>
      </w:r>
      <w:r w:rsidRPr="00A86354">
        <w:rPr>
          <w:rFonts w:cs="Arial"/>
          <w:lang w:val="fr-FR"/>
        </w:rPr>
        <w:t>impose de promouvoir l</w:t>
      </w:r>
      <w:r w:rsidRPr="00A86354" w:rsidR="0006032C">
        <w:rPr>
          <w:rFonts w:cs="Arial"/>
          <w:lang w:val="fr-FR"/>
        </w:rPr>
        <w:t>’</w:t>
      </w:r>
      <w:r w:rsidRPr="00A86354">
        <w:rPr>
          <w:rFonts w:cs="Arial"/>
          <w:lang w:val="fr-FR"/>
        </w:rPr>
        <w:t xml:space="preserve">accès des personnes en </w:t>
      </w:r>
      <w:r w:rsidRPr="00A86354">
        <w:rPr>
          <w:rFonts w:cs="Arial"/>
          <w:lang w:val="fr-FR"/>
        </w:rPr>
        <w:lastRenderedPageBreak/>
        <w:t>situation de handicap aux services d</w:t>
      </w:r>
      <w:r w:rsidRPr="00A86354" w:rsidR="0006032C">
        <w:rPr>
          <w:rFonts w:cs="Arial"/>
          <w:lang w:val="fr-FR"/>
        </w:rPr>
        <w:t>’</w:t>
      </w:r>
      <w:r w:rsidRPr="00A86354">
        <w:rPr>
          <w:rFonts w:cs="Arial"/>
          <w:lang w:val="fr-FR"/>
        </w:rPr>
        <w:t>information et de communication</w:t>
      </w:r>
      <w:r w:rsidRPr="00A86354" w:rsidR="00B60BFA">
        <w:rPr>
          <w:rFonts w:cs="Arial"/>
          <w:lang w:val="fr-FR"/>
        </w:rPr>
        <w:t xml:space="preserve">, </w:t>
      </w:r>
      <w:r w:rsidRPr="00A86354">
        <w:rPr>
          <w:rFonts w:cs="Arial"/>
          <w:lang w:val="fr-FR"/>
        </w:rPr>
        <w:t>les droits d</w:t>
      </w:r>
      <w:r w:rsidRPr="00A86354" w:rsidR="0006032C">
        <w:rPr>
          <w:rFonts w:cs="Arial"/>
          <w:lang w:val="fr-FR"/>
        </w:rPr>
        <w:t>’</w:t>
      </w:r>
      <w:r w:rsidRPr="00A86354">
        <w:rPr>
          <w:rFonts w:cs="Arial"/>
          <w:lang w:val="fr-FR"/>
        </w:rPr>
        <w:t>accès à l</w:t>
      </w:r>
      <w:r w:rsidRPr="00A86354" w:rsidR="0006032C">
        <w:rPr>
          <w:rFonts w:cs="Arial"/>
          <w:lang w:val="fr-FR"/>
        </w:rPr>
        <w:t>’</w:t>
      </w:r>
      <w:r w:rsidRPr="00A86354">
        <w:rPr>
          <w:rFonts w:cs="Arial"/>
          <w:lang w:val="fr-FR"/>
        </w:rPr>
        <w:t xml:space="preserve">information prévus par cette loi ne sont pas </w:t>
      </w:r>
      <w:r w:rsidRPr="00A86354" w:rsidR="00FE14B6">
        <w:rPr>
          <w:rFonts w:cs="Arial"/>
          <w:lang w:val="fr-FR"/>
        </w:rPr>
        <w:t>efficacement</w:t>
      </w:r>
      <w:r w:rsidRPr="00A86354">
        <w:rPr>
          <w:rFonts w:cs="Arial"/>
          <w:lang w:val="fr-FR"/>
        </w:rPr>
        <w:t xml:space="preserve"> mis en </w:t>
      </w:r>
      <w:r w:rsidRPr="00A86354" w:rsidR="00FE14B6">
        <w:rPr>
          <w:rFonts w:cs="Arial"/>
          <w:lang w:val="fr-FR"/>
        </w:rPr>
        <w:t>œuvre en</w:t>
      </w:r>
      <w:r w:rsidRPr="00A86354">
        <w:rPr>
          <w:rFonts w:cs="Arial"/>
          <w:lang w:val="fr-FR"/>
        </w:rPr>
        <w:t xml:space="preserve"> pratique</w:t>
      </w:r>
      <w:r w:rsidRPr="00A86354" w:rsidR="00B60BFA">
        <w:rPr>
          <w:rFonts w:cs="Arial"/>
          <w:lang w:val="fr-FR"/>
        </w:rPr>
        <w:t xml:space="preserve">. </w:t>
      </w:r>
      <w:r w:rsidRPr="00A86354" w:rsidR="00FE14B6">
        <w:rPr>
          <w:rFonts w:cs="Arial"/>
          <w:lang w:val="fr-FR"/>
        </w:rPr>
        <w:t>Selon la</w:t>
      </w:r>
      <w:r w:rsidRPr="00A86354" w:rsidR="00B60BFA">
        <w:rPr>
          <w:rFonts w:cs="Arial"/>
          <w:lang w:val="fr-FR"/>
        </w:rPr>
        <w:t xml:space="preserve"> CNCDH,</w:t>
      </w:r>
      <w:r w:rsidRPr="00A86354" w:rsidR="00FE14B6">
        <w:rPr>
          <w:rFonts w:ascii="Times New Roman" w:hAnsi="Times New Roman" w:eastAsiaTheme="minorHAnsi"/>
          <w:color w:val="000000"/>
          <w:sz w:val="22"/>
          <w:szCs w:val="22"/>
          <w:lang w:val="fr-FR" w:eastAsia="en-US"/>
        </w:rPr>
        <w:t xml:space="preserve"> </w:t>
      </w:r>
      <w:r w:rsidRPr="00A86354" w:rsidR="00FE14B6">
        <w:rPr>
          <w:rFonts w:cs="Arial"/>
          <w:lang w:val="fr-FR"/>
        </w:rPr>
        <w:t>si l</w:t>
      </w:r>
      <w:r w:rsidRPr="00A86354" w:rsidR="0006032C">
        <w:rPr>
          <w:rFonts w:cs="Arial"/>
          <w:lang w:val="fr-FR"/>
        </w:rPr>
        <w:t>’</w:t>
      </w:r>
      <w:r w:rsidRPr="00A86354" w:rsidR="00FE14B6">
        <w:rPr>
          <w:rFonts w:cs="Arial"/>
          <w:lang w:val="fr-FR"/>
        </w:rPr>
        <w:t>arrivée de la dématérialisation et de solutions numériques paraît être une avancée pour certaines personnes en situation de handicap, qui peuvent avoir du mal à se déplacer notamment,</w:t>
      </w:r>
      <w:r w:rsidRPr="00A86354" w:rsidR="00B60BFA">
        <w:rPr>
          <w:rFonts w:cs="Arial"/>
          <w:lang w:val="fr-FR"/>
        </w:rPr>
        <w:t xml:space="preserve"> </w:t>
      </w:r>
      <w:r w:rsidRPr="00A86354" w:rsidR="00FE14B6">
        <w:rPr>
          <w:rFonts w:cs="Arial"/>
          <w:lang w:val="fr-FR"/>
        </w:rPr>
        <w:t>de nombreux sites internet publics souffrent de défauts de conception et sont, de fait, inaccessibles à certaines personnes handicapées. À titre d</w:t>
      </w:r>
      <w:r w:rsidRPr="00A86354" w:rsidR="0006032C">
        <w:rPr>
          <w:rFonts w:cs="Arial"/>
          <w:lang w:val="fr-FR"/>
        </w:rPr>
        <w:t>’</w:t>
      </w:r>
      <w:r w:rsidRPr="00A86354" w:rsidR="00FE14B6">
        <w:rPr>
          <w:rFonts w:cs="Arial"/>
          <w:lang w:val="fr-FR"/>
        </w:rPr>
        <w:t>exemple, de trop nombreux sites ne sont pas lisibles par les logiciels des personnes malvoyantes. En conséquence, la dématérialisation obligatoire de nombreuses démarches administratives devient un facteur supplémentaire d</w:t>
      </w:r>
      <w:r w:rsidRPr="00A86354" w:rsidR="0006032C">
        <w:rPr>
          <w:rFonts w:cs="Arial"/>
          <w:lang w:val="fr-FR"/>
        </w:rPr>
        <w:t>’</w:t>
      </w:r>
      <w:r w:rsidRPr="00A86354" w:rsidR="00FE14B6">
        <w:rPr>
          <w:rFonts w:cs="Arial"/>
          <w:lang w:val="fr-FR"/>
        </w:rPr>
        <w:t xml:space="preserve">exclusion, la </w:t>
      </w:r>
      <w:r w:rsidRPr="00A86354" w:rsidR="000807D5">
        <w:rPr>
          <w:rFonts w:cs="Arial"/>
          <w:lang w:val="fr-FR"/>
        </w:rPr>
        <w:t>« </w:t>
      </w:r>
      <w:r w:rsidRPr="00A86354" w:rsidR="00FE14B6">
        <w:rPr>
          <w:rFonts w:cs="Arial"/>
          <w:lang w:val="fr-FR"/>
        </w:rPr>
        <w:t>fracture numérique</w:t>
      </w:r>
      <w:r w:rsidRPr="00A86354" w:rsidR="000807D5">
        <w:rPr>
          <w:rFonts w:cs="Arial"/>
          <w:lang w:val="fr-FR"/>
        </w:rPr>
        <w:t> »</w:t>
      </w:r>
      <w:r w:rsidRPr="00A86354" w:rsidR="00FE14B6">
        <w:rPr>
          <w:rFonts w:cs="Arial"/>
          <w:lang w:val="fr-FR"/>
        </w:rPr>
        <w:t xml:space="preserve"> venant s</w:t>
      </w:r>
      <w:r w:rsidRPr="00A86354" w:rsidR="0006032C">
        <w:rPr>
          <w:rFonts w:cs="Arial"/>
          <w:lang w:val="fr-FR"/>
        </w:rPr>
        <w:t>’</w:t>
      </w:r>
      <w:r w:rsidRPr="00A86354" w:rsidR="00FE14B6">
        <w:rPr>
          <w:rFonts w:cs="Arial"/>
          <w:lang w:val="fr-FR"/>
        </w:rPr>
        <w:t xml:space="preserve">ajouter alors à la </w:t>
      </w:r>
      <w:r w:rsidRPr="00A86354" w:rsidR="000807D5">
        <w:rPr>
          <w:rFonts w:cs="Arial"/>
          <w:lang w:val="fr-FR"/>
        </w:rPr>
        <w:t>« </w:t>
      </w:r>
      <w:r w:rsidRPr="00A86354" w:rsidR="00FE14B6">
        <w:rPr>
          <w:rFonts w:cs="Arial"/>
          <w:lang w:val="fr-FR"/>
        </w:rPr>
        <w:t>fracture sociale</w:t>
      </w:r>
      <w:r w:rsidRPr="00A86354" w:rsidR="000807D5">
        <w:rPr>
          <w:rFonts w:cs="Arial"/>
          <w:lang w:val="fr-FR"/>
        </w:rPr>
        <w:t> »</w:t>
      </w:r>
      <w:r w:rsidRPr="00A86354" w:rsidR="00FE14B6">
        <w:rPr>
          <w:rFonts w:cs="Arial"/>
          <w:lang w:val="fr-FR"/>
        </w:rPr>
        <w:t>. De plus, la CNCDH souligne que le handicap intellectuel n</w:t>
      </w:r>
      <w:r w:rsidRPr="00A86354" w:rsidR="0006032C">
        <w:rPr>
          <w:rFonts w:cs="Arial"/>
          <w:lang w:val="fr-FR"/>
        </w:rPr>
        <w:t>’</w:t>
      </w:r>
      <w:r w:rsidRPr="00A86354" w:rsidR="00FE14B6">
        <w:rPr>
          <w:rFonts w:cs="Arial"/>
          <w:lang w:val="fr-FR"/>
        </w:rPr>
        <w:t>a pas été pris en compte par les concepteurs des normes d</w:t>
      </w:r>
      <w:r w:rsidRPr="00A86354" w:rsidR="0006032C">
        <w:rPr>
          <w:rFonts w:cs="Arial"/>
          <w:lang w:val="fr-FR"/>
        </w:rPr>
        <w:t>’</w:t>
      </w:r>
      <w:r w:rsidRPr="00A86354" w:rsidR="00FE14B6">
        <w:rPr>
          <w:rFonts w:cs="Arial"/>
          <w:lang w:val="fr-FR"/>
        </w:rPr>
        <w:t>accessibilité et qu</w:t>
      </w:r>
      <w:r w:rsidRPr="00A86354" w:rsidR="0006032C">
        <w:rPr>
          <w:rFonts w:cs="Arial"/>
          <w:lang w:val="fr-FR"/>
        </w:rPr>
        <w:t>’</w:t>
      </w:r>
      <w:r w:rsidRPr="00A86354" w:rsidR="00FE14B6">
        <w:rPr>
          <w:rFonts w:cs="Arial"/>
          <w:lang w:val="fr-FR"/>
        </w:rPr>
        <w:t>il reste très difficile pour les personnes handicapées intellectuelles d</w:t>
      </w:r>
      <w:r w:rsidRPr="00A86354" w:rsidR="0006032C">
        <w:rPr>
          <w:rFonts w:cs="Arial"/>
          <w:lang w:val="fr-FR"/>
        </w:rPr>
        <w:t>’</w:t>
      </w:r>
      <w:r w:rsidRPr="00A86354" w:rsidR="00FE14B6">
        <w:rPr>
          <w:rFonts w:cs="Arial"/>
          <w:lang w:val="fr-FR"/>
        </w:rPr>
        <w:t>avoir accès aux informations.</w:t>
      </w:r>
      <w:r w:rsidRPr="00A86354" w:rsidR="00C02BE9">
        <w:rPr>
          <w:rFonts w:cs="Arial"/>
          <w:lang w:val="fr-FR"/>
        </w:rPr>
        <w:t xml:space="preserve">  </w:t>
      </w:r>
    </w:p>
    <w:p w:rsidRPr="00A86354" w:rsidR="00C02BE9" w:rsidP="00C02BE9" w:rsidRDefault="00C02BE9" w14:paraId="6B36E72D" w14:textId="77777777">
      <w:pPr>
        <w:pStyle w:val="ListParagraph"/>
        <w:rPr>
          <w:rFonts w:cs="Arial"/>
          <w:lang w:val="fr-FR"/>
        </w:rPr>
      </w:pPr>
    </w:p>
    <w:p w:rsidRPr="00A86354" w:rsidR="00C93DC9" w:rsidP="00CE016A" w:rsidRDefault="00C02BE9" w14:paraId="6E5598DD" w14:textId="28380137">
      <w:pPr>
        <w:pStyle w:val="ListParagraph"/>
        <w:numPr>
          <w:ilvl w:val="0"/>
          <w:numId w:val="1"/>
        </w:numPr>
        <w:ind w:left="0" w:firstLine="0"/>
        <w:rPr>
          <w:rFonts w:cs="Arial"/>
          <w:lang w:val="fr-FR"/>
        </w:rPr>
      </w:pPr>
      <w:r w:rsidRPr="00A86354">
        <w:rPr>
          <w:rFonts w:cs="Arial"/>
          <w:lang w:val="fr-FR"/>
        </w:rPr>
        <w:t xml:space="preserve"> </w:t>
      </w:r>
      <w:r w:rsidRPr="00A86354" w:rsidR="00FE14B6">
        <w:rPr>
          <w:rFonts w:cs="Arial"/>
          <w:lang w:val="fr-FR"/>
        </w:rPr>
        <w:t>La</w:t>
      </w:r>
      <w:r w:rsidRPr="00A86354" w:rsidR="004D1835">
        <w:rPr>
          <w:rFonts w:cs="Arial"/>
          <w:lang w:val="fr-FR"/>
        </w:rPr>
        <w:t xml:space="preserve"> CNCDH </w:t>
      </w:r>
      <w:r w:rsidRPr="00A86354" w:rsidR="00FE14B6">
        <w:rPr>
          <w:rFonts w:cs="Arial"/>
          <w:lang w:val="fr-FR"/>
        </w:rPr>
        <w:t>indique également que la loi de</w:t>
      </w:r>
      <w:r w:rsidRPr="00A86354" w:rsidR="004D1835">
        <w:rPr>
          <w:rFonts w:cs="Arial"/>
          <w:lang w:val="fr-FR"/>
        </w:rPr>
        <w:t xml:space="preserve"> 2005 </w:t>
      </w:r>
      <w:r w:rsidRPr="00A86354" w:rsidR="00FE14B6">
        <w:rPr>
          <w:rFonts w:cs="Arial"/>
          <w:lang w:val="fr-FR"/>
        </w:rPr>
        <w:t>impose uniquement aux services publics, et non aux entreprises privées, de rendre leurs services en ligne accessibles aux personnes handicapées, ce qui prive les personnes en situation de handicap d</w:t>
      </w:r>
      <w:r w:rsidRPr="00A86354" w:rsidR="0006032C">
        <w:rPr>
          <w:rFonts w:cs="Arial"/>
          <w:lang w:val="fr-FR"/>
        </w:rPr>
        <w:t>’</w:t>
      </w:r>
      <w:r w:rsidRPr="00A86354" w:rsidR="00FE14B6">
        <w:rPr>
          <w:rFonts w:cs="Arial"/>
          <w:lang w:val="fr-FR"/>
        </w:rPr>
        <w:t xml:space="preserve">avoir accès à de nombreuses informations. De plus, selon la CNCDH, </w:t>
      </w:r>
      <w:r w:rsidRPr="00A86354" w:rsidR="00B75F1B">
        <w:rPr>
          <w:rFonts w:cs="Arial"/>
          <w:lang w:val="fr-FR"/>
        </w:rPr>
        <w:t xml:space="preserve">cette </w:t>
      </w:r>
      <w:r w:rsidRPr="00A86354" w:rsidR="00FE14B6">
        <w:rPr>
          <w:rFonts w:cs="Arial"/>
          <w:lang w:val="fr-FR"/>
        </w:rPr>
        <w:t>obligation n</w:t>
      </w:r>
      <w:r w:rsidRPr="00A86354" w:rsidR="0006032C">
        <w:rPr>
          <w:rFonts w:cs="Arial"/>
          <w:lang w:val="fr-FR"/>
        </w:rPr>
        <w:t>’</w:t>
      </w:r>
      <w:r w:rsidRPr="00A86354" w:rsidR="00FE14B6">
        <w:rPr>
          <w:rFonts w:cs="Arial"/>
          <w:lang w:val="fr-FR"/>
        </w:rPr>
        <w:t>est pas respectée</w:t>
      </w:r>
      <w:r w:rsidRPr="00A86354" w:rsidR="00B75F1B">
        <w:rPr>
          <w:rFonts w:cs="Arial"/>
          <w:lang w:val="fr-FR"/>
        </w:rPr>
        <w:t xml:space="preserve"> en pratique</w:t>
      </w:r>
      <w:r w:rsidRPr="00A86354" w:rsidR="000807D5">
        <w:rPr>
          <w:rFonts w:cs="Arial"/>
          <w:lang w:val="fr-FR"/>
        </w:rPr>
        <w:t> :</w:t>
      </w:r>
      <w:r w:rsidRPr="00A86354" w:rsidR="00FE14B6">
        <w:rPr>
          <w:rFonts w:cs="Arial"/>
          <w:lang w:val="fr-FR"/>
        </w:rPr>
        <w:t xml:space="preserve"> en dépit </w:t>
      </w:r>
      <w:r w:rsidRPr="00A86354" w:rsidR="00B75F1B">
        <w:rPr>
          <w:rFonts w:cs="Arial"/>
          <w:lang w:val="fr-FR"/>
        </w:rPr>
        <w:t>des dispositions juridiques en vigueur</w:t>
      </w:r>
      <w:r w:rsidRPr="00A86354" w:rsidR="00FE14B6">
        <w:rPr>
          <w:rFonts w:cs="Arial"/>
          <w:lang w:val="fr-FR"/>
        </w:rPr>
        <w:t xml:space="preserve">, la majorité des sites </w:t>
      </w:r>
      <w:r w:rsidRPr="00A86354" w:rsidR="00B75F1B">
        <w:rPr>
          <w:rFonts w:cs="Arial"/>
          <w:lang w:val="fr-FR"/>
        </w:rPr>
        <w:t>w</w:t>
      </w:r>
      <w:r w:rsidRPr="00A86354" w:rsidR="00FE14B6">
        <w:rPr>
          <w:rFonts w:cs="Arial"/>
          <w:lang w:val="fr-FR"/>
        </w:rPr>
        <w:t>eb officiels de l</w:t>
      </w:r>
      <w:r w:rsidRPr="00A86354" w:rsidR="0006032C">
        <w:rPr>
          <w:rFonts w:cs="Arial"/>
          <w:lang w:val="fr-FR"/>
        </w:rPr>
        <w:t>’</w:t>
      </w:r>
      <w:r w:rsidRPr="00A86354" w:rsidR="00FE14B6">
        <w:rPr>
          <w:rFonts w:cs="Arial"/>
          <w:lang w:val="fr-FR"/>
        </w:rPr>
        <w:t>État ne sont pas accessibles à l</w:t>
      </w:r>
      <w:r w:rsidRPr="00A86354" w:rsidR="0006032C">
        <w:rPr>
          <w:rFonts w:cs="Arial"/>
          <w:lang w:val="fr-FR"/>
        </w:rPr>
        <w:t>’</w:t>
      </w:r>
      <w:r w:rsidRPr="00A86354" w:rsidR="00FE14B6">
        <w:rPr>
          <w:rFonts w:cs="Arial"/>
          <w:lang w:val="fr-FR"/>
        </w:rPr>
        <w:t xml:space="preserve">ensemble des personnes handicapées. </w:t>
      </w:r>
      <w:r w:rsidRPr="00A86354" w:rsidR="00B75F1B">
        <w:rPr>
          <w:rFonts w:cs="Arial"/>
          <w:lang w:val="fr-FR"/>
        </w:rPr>
        <w:t>Selon la CNCDH, c</w:t>
      </w:r>
      <w:r w:rsidRPr="00A86354" w:rsidR="00FE14B6">
        <w:rPr>
          <w:rFonts w:cs="Arial"/>
          <w:lang w:val="fr-FR"/>
        </w:rPr>
        <w:t>ette inaccessibilité des sites internet constitue une fracture supplémentaire dans l</w:t>
      </w:r>
      <w:r w:rsidRPr="00A86354" w:rsidR="0006032C">
        <w:rPr>
          <w:rFonts w:cs="Arial"/>
          <w:lang w:val="fr-FR"/>
        </w:rPr>
        <w:t>’</w:t>
      </w:r>
      <w:r w:rsidRPr="00A86354" w:rsidR="00FE14B6">
        <w:rPr>
          <w:rFonts w:cs="Arial"/>
          <w:lang w:val="fr-FR"/>
        </w:rPr>
        <w:t>accès aux services publics et, ce faisant, une rupture d</w:t>
      </w:r>
      <w:r w:rsidRPr="00A86354" w:rsidR="0006032C">
        <w:rPr>
          <w:rFonts w:cs="Arial"/>
          <w:lang w:val="fr-FR"/>
        </w:rPr>
        <w:t>’</w:t>
      </w:r>
      <w:r w:rsidRPr="00A86354" w:rsidR="00FE14B6">
        <w:rPr>
          <w:rFonts w:cs="Arial"/>
          <w:lang w:val="fr-FR"/>
        </w:rPr>
        <w:t>égalité dans l</w:t>
      </w:r>
      <w:r w:rsidRPr="00A86354" w:rsidR="0006032C">
        <w:rPr>
          <w:rFonts w:cs="Arial"/>
          <w:lang w:val="fr-FR"/>
        </w:rPr>
        <w:t>’</w:t>
      </w:r>
      <w:r w:rsidRPr="00A86354" w:rsidR="00FE14B6">
        <w:rPr>
          <w:rFonts w:cs="Arial"/>
          <w:lang w:val="fr-FR"/>
        </w:rPr>
        <w:t xml:space="preserve">accès aux droits pour les personnes en situation de handicap. </w:t>
      </w:r>
      <w:r w:rsidRPr="00A86354" w:rsidR="00B75F1B">
        <w:rPr>
          <w:rFonts w:cs="Arial"/>
          <w:lang w:val="fr-FR"/>
        </w:rPr>
        <w:t>La CNCDH indique en outre que la</w:t>
      </w:r>
      <w:r w:rsidRPr="00A86354" w:rsidR="00FE14B6">
        <w:rPr>
          <w:rFonts w:cs="Arial"/>
          <w:lang w:val="fr-FR"/>
        </w:rPr>
        <w:t xml:space="preserve"> loi ne prévoit pas de sanction en cas de non-respect de la mise aux normes des règles d</w:t>
      </w:r>
      <w:r w:rsidRPr="00A86354" w:rsidR="0006032C">
        <w:rPr>
          <w:rFonts w:cs="Arial"/>
          <w:lang w:val="fr-FR"/>
        </w:rPr>
        <w:t>’</w:t>
      </w:r>
      <w:r w:rsidRPr="00A86354" w:rsidR="00FE14B6">
        <w:rPr>
          <w:rFonts w:cs="Arial"/>
          <w:lang w:val="fr-FR"/>
        </w:rPr>
        <w:t>accessibilité</w:t>
      </w:r>
      <w:r w:rsidRPr="00A86354" w:rsidR="004D1835">
        <w:rPr>
          <w:rFonts w:cs="Arial"/>
          <w:lang w:val="fr-FR"/>
        </w:rPr>
        <w:t xml:space="preserve">.    </w:t>
      </w:r>
    </w:p>
    <w:p w:rsidRPr="00CF0D22" w:rsidR="001243BD" w:rsidP="00271781" w:rsidRDefault="001243BD" w14:paraId="4799E3BF" w14:textId="0E7C4C34">
      <w:pPr>
        <w:rPr>
          <w:rFonts w:ascii="Arial" w:hAnsi="Arial" w:cs="Arial"/>
          <w:lang w:val="fr-FR"/>
        </w:rPr>
      </w:pPr>
    </w:p>
    <w:p w:rsidRPr="00A86354" w:rsidR="005B3217" w:rsidP="00BA7DF8" w:rsidRDefault="00A47E00" w14:paraId="565742F8" w14:textId="6A45297D">
      <w:pPr>
        <w:pStyle w:val="ListParagraph"/>
        <w:ind w:left="360" w:hanging="360"/>
        <w:rPr>
          <w:rFonts w:cs="Arial"/>
          <w:i/>
          <w:iCs/>
          <w:lang w:val="fr-FR"/>
        </w:rPr>
      </w:pPr>
      <w:r w:rsidRPr="00A86354">
        <w:rPr>
          <w:rFonts w:cs="Arial"/>
          <w:i/>
          <w:iCs/>
          <w:lang w:val="fr-FR"/>
        </w:rPr>
        <w:t>Acc</w:t>
      </w:r>
      <w:r w:rsidRPr="00A86354" w:rsidR="00B75F1B">
        <w:rPr>
          <w:rFonts w:cs="Arial"/>
          <w:i/>
          <w:iCs/>
          <w:lang w:val="fr-FR"/>
        </w:rPr>
        <w:t>è</w:t>
      </w:r>
      <w:r w:rsidRPr="00A86354">
        <w:rPr>
          <w:rFonts w:cs="Arial"/>
          <w:i/>
          <w:iCs/>
          <w:lang w:val="fr-FR"/>
        </w:rPr>
        <w:t>s</w:t>
      </w:r>
      <w:r w:rsidRPr="00A86354" w:rsidR="00B75F1B">
        <w:rPr>
          <w:rFonts w:cs="Arial"/>
          <w:i/>
          <w:iCs/>
          <w:lang w:val="fr-FR"/>
        </w:rPr>
        <w:t xml:space="preserve"> des enfants porteurs de handicap à l</w:t>
      </w:r>
      <w:r w:rsidRPr="00A86354" w:rsidR="0006032C">
        <w:rPr>
          <w:rFonts w:cs="Arial"/>
          <w:i/>
          <w:iCs/>
          <w:lang w:val="fr-FR"/>
        </w:rPr>
        <w:t>’</w:t>
      </w:r>
      <w:r w:rsidRPr="00A86354" w:rsidR="00B75F1B">
        <w:rPr>
          <w:rFonts w:cs="Arial"/>
          <w:i/>
          <w:iCs/>
          <w:lang w:val="fr-FR"/>
        </w:rPr>
        <w:t>é</w:t>
      </w:r>
      <w:r w:rsidRPr="00A86354">
        <w:rPr>
          <w:rFonts w:cs="Arial"/>
          <w:i/>
          <w:iCs/>
          <w:lang w:val="fr-FR"/>
        </w:rPr>
        <w:t>ducation</w:t>
      </w:r>
    </w:p>
    <w:p w:rsidRPr="00A86354" w:rsidR="005B3217" w:rsidP="005B3217" w:rsidRDefault="005B3217" w14:paraId="5F800F2C" w14:textId="77777777">
      <w:pPr>
        <w:pStyle w:val="ListParagraph"/>
        <w:rPr>
          <w:rFonts w:cs="Arial"/>
          <w:lang w:val="fr-FR"/>
        </w:rPr>
      </w:pPr>
    </w:p>
    <w:p w:rsidRPr="00A86354" w:rsidR="00F34B2C" w:rsidP="00CE016A" w:rsidRDefault="00B75F1B" w14:paraId="219F7914" w14:textId="46D59E31">
      <w:pPr>
        <w:pStyle w:val="ListParagraph"/>
        <w:numPr>
          <w:ilvl w:val="0"/>
          <w:numId w:val="1"/>
        </w:numPr>
        <w:ind w:left="0" w:firstLine="0"/>
        <w:rPr>
          <w:rFonts w:cs="Arial"/>
          <w:lang w:val="fr-FR"/>
        </w:rPr>
      </w:pPr>
      <w:r w:rsidRPr="00A86354">
        <w:rPr>
          <w:rFonts w:cs="Arial"/>
          <w:lang w:val="fr-FR"/>
        </w:rPr>
        <w:t>La</w:t>
      </w:r>
      <w:r w:rsidRPr="00A86354" w:rsidR="005B3217">
        <w:rPr>
          <w:rFonts w:cs="Arial"/>
          <w:lang w:val="fr-FR"/>
        </w:rPr>
        <w:t xml:space="preserve"> CNCDH </w:t>
      </w:r>
      <w:r w:rsidRPr="00A86354">
        <w:rPr>
          <w:rFonts w:cs="Arial"/>
          <w:lang w:val="fr-FR"/>
        </w:rPr>
        <w:t>cite</w:t>
      </w:r>
      <w:r w:rsidRPr="00A86354" w:rsidR="005B3217">
        <w:rPr>
          <w:rFonts w:cs="Arial"/>
          <w:lang w:val="fr-FR"/>
        </w:rPr>
        <w:t xml:space="preserve"> </w:t>
      </w:r>
      <w:r w:rsidRPr="00A86354">
        <w:rPr>
          <w:rFonts w:cs="Arial"/>
          <w:lang w:val="fr-FR"/>
        </w:rPr>
        <w:t>un certain nombre de mesures</w:t>
      </w:r>
      <w:r w:rsidRPr="00A86354" w:rsidR="005B3217">
        <w:rPr>
          <w:rFonts w:cs="Arial"/>
          <w:lang w:val="fr-FR"/>
        </w:rPr>
        <w:t xml:space="preserve">, </w:t>
      </w:r>
      <w:r w:rsidRPr="00A86354">
        <w:rPr>
          <w:rFonts w:cs="Arial"/>
          <w:lang w:val="fr-FR"/>
        </w:rPr>
        <w:t>annoncées notamment lors de la</w:t>
      </w:r>
      <w:r w:rsidRPr="00A86354">
        <w:rPr>
          <w:rFonts w:ascii="Times New Roman" w:hAnsi="Times New Roman" w:eastAsiaTheme="minorHAnsi"/>
          <w:color w:val="000000"/>
          <w:sz w:val="22"/>
          <w:szCs w:val="22"/>
          <w:lang w:val="fr-FR" w:eastAsia="en-US"/>
        </w:rPr>
        <w:t xml:space="preserve"> </w:t>
      </w:r>
      <w:r w:rsidRPr="00A86354">
        <w:rPr>
          <w:rFonts w:cs="Arial"/>
          <w:lang w:val="fr-FR"/>
        </w:rPr>
        <w:t>5</w:t>
      </w:r>
      <w:r w:rsidRPr="00A86354">
        <w:rPr>
          <w:rFonts w:cs="Arial"/>
          <w:vertAlign w:val="superscript"/>
          <w:lang w:val="fr-FR"/>
        </w:rPr>
        <w:t>e</w:t>
      </w:r>
      <w:r w:rsidRPr="00A86354" w:rsidR="00342400">
        <w:rPr>
          <w:rFonts w:cs="Arial"/>
          <w:lang w:val="fr-FR"/>
        </w:rPr>
        <w:t xml:space="preserve"> </w:t>
      </w:r>
      <w:r w:rsidRPr="00A86354">
        <w:rPr>
          <w:rFonts w:cs="Arial"/>
          <w:lang w:val="fr-FR"/>
        </w:rPr>
        <w:t>Conférence nationale du handicap qui s</w:t>
      </w:r>
      <w:r w:rsidRPr="00A86354" w:rsidR="0006032C">
        <w:rPr>
          <w:rFonts w:cs="Arial"/>
          <w:lang w:val="fr-FR"/>
        </w:rPr>
        <w:t>’</w:t>
      </w:r>
      <w:r w:rsidRPr="00A86354">
        <w:rPr>
          <w:rFonts w:cs="Arial"/>
          <w:lang w:val="fr-FR"/>
        </w:rPr>
        <w:t xml:space="preserve">est tenue </w:t>
      </w:r>
      <w:r w:rsidRPr="00A86354" w:rsidR="00342400">
        <w:rPr>
          <w:rFonts w:cs="Arial"/>
          <w:lang w:val="fr-FR"/>
        </w:rPr>
        <w:t>en</w:t>
      </w:r>
      <w:r w:rsidRPr="00A86354">
        <w:rPr>
          <w:rFonts w:cs="Arial"/>
          <w:lang w:val="fr-FR"/>
        </w:rPr>
        <w:t xml:space="preserve"> février 2020,</w:t>
      </w:r>
      <w:r w:rsidRPr="00A86354" w:rsidR="005B3217">
        <w:rPr>
          <w:rFonts w:cs="Arial"/>
          <w:lang w:val="fr-FR"/>
        </w:rPr>
        <w:t xml:space="preserve"> </w:t>
      </w:r>
      <w:r w:rsidRPr="00A86354" w:rsidR="00436F36">
        <w:rPr>
          <w:rFonts w:cs="Arial"/>
          <w:lang w:val="fr-FR"/>
        </w:rPr>
        <w:t>visant à améliorer l</w:t>
      </w:r>
      <w:r w:rsidRPr="00A86354" w:rsidR="0006032C">
        <w:rPr>
          <w:rFonts w:cs="Arial"/>
          <w:lang w:val="fr-FR"/>
        </w:rPr>
        <w:t>’</w:t>
      </w:r>
      <w:r w:rsidRPr="00A86354" w:rsidR="00436F36">
        <w:rPr>
          <w:rFonts w:cs="Arial"/>
          <w:lang w:val="fr-FR"/>
        </w:rPr>
        <w:t>accès des enfants handicapés à l</w:t>
      </w:r>
      <w:r w:rsidRPr="00A86354" w:rsidR="0006032C">
        <w:rPr>
          <w:rFonts w:cs="Arial"/>
          <w:lang w:val="fr-FR"/>
        </w:rPr>
        <w:t>’</w:t>
      </w:r>
      <w:r w:rsidRPr="00A86354" w:rsidR="00436F36">
        <w:rPr>
          <w:rFonts w:cs="Arial"/>
          <w:lang w:val="fr-FR"/>
        </w:rPr>
        <w:t>éducation et la prise en compte des problèmes persistant depuis plusieurs années à cet égard. Étant donné que les contrats courts et les rémunérations peu attractives des accompagnants des élèves en situation de handicap (AESH) engendrent souvent des ruptures de scolarisation ou une scolarisation incomplète des élèves en situation de handicap, dont la présence dans l</w:t>
      </w:r>
      <w:r w:rsidRPr="00A86354" w:rsidR="0006032C">
        <w:rPr>
          <w:rFonts w:cs="Arial"/>
          <w:lang w:val="fr-FR"/>
        </w:rPr>
        <w:t>’</w:t>
      </w:r>
      <w:r w:rsidRPr="00A86354" w:rsidR="00436F36">
        <w:rPr>
          <w:rFonts w:cs="Arial"/>
          <w:lang w:val="fr-FR"/>
        </w:rPr>
        <w:t>établissement scolaire est souvent conditionnée à la présence d</w:t>
      </w:r>
      <w:r w:rsidRPr="00A86354" w:rsidR="0006032C">
        <w:rPr>
          <w:rFonts w:cs="Arial"/>
          <w:lang w:val="fr-FR"/>
        </w:rPr>
        <w:t>’</w:t>
      </w:r>
      <w:r w:rsidRPr="00A86354" w:rsidR="00436F36">
        <w:rPr>
          <w:rFonts w:cs="Arial"/>
          <w:lang w:val="fr-FR"/>
        </w:rPr>
        <w:t>un accompagnant</w:t>
      </w:r>
      <w:r w:rsidRPr="00A86354" w:rsidR="00F822EF">
        <w:rPr>
          <w:rFonts w:cs="Arial"/>
          <w:lang w:val="fr-FR"/>
        </w:rPr>
        <w:t xml:space="preserve">, le </w:t>
      </w:r>
      <w:r w:rsidRPr="00A86354" w:rsidR="00AE34AC">
        <w:rPr>
          <w:rFonts w:cs="Arial"/>
          <w:lang w:val="fr-FR"/>
        </w:rPr>
        <w:t>Gouvernement</w:t>
      </w:r>
      <w:r w:rsidRPr="00A86354" w:rsidR="00F822EF">
        <w:rPr>
          <w:rFonts w:cs="Arial"/>
          <w:lang w:val="fr-FR"/>
        </w:rPr>
        <w:t xml:space="preserve"> a </w:t>
      </w:r>
      <w:r w:rsidRPr="00A86354" w:rsidR="00436F36">
        <w:rPr>
          <w:rFonts w:cs="Arial"/>
          <w:lang w:val="fr-FR"/>
        </w:rPr>
        <w:t>allong</w:t>
      </w:r>
      <w:r w:rsidRPr="00A86354" w:rsidR="00F822EF">
        <w:rPr>
          <w:rFonts w:cs="Arial"/>
          <w:lang w:val="fr-FR"/>
        </w:rPr>
        <w:t>é</w:t>
      </w:r>
      <w:r w:rsidRPr="00A86354" w:rsidR="00436F36">
        <w:rPr>
          <w:rFonts w:cs="Arial"/>
          <w:lang w:val="fr-FR"/>
        </w:rPr>
        <w:t xml:space="preserve"> les contrats des AESH (auparavant de quelques mois et donc amenés à s</w:t>
      </w:r>
      <w:r w:rsidRPr="00A86354" w:rsidR="0006032C">
        <w:rPr>
          <w:rFonts w:cs="Arial"/>
          <w:lang w:val="fr-FR"/>
        </w:rPr>
        <w:t>’</w:t>
      </w:r>
      <w:r w:rsidRPr="00A86354" w:rsidR="00436F36">
        <w:rPr>
          <w:rFonts w:cs="Arial"/>
          <w:lang w:val="fr-FR"/>
        </w:rPr>
        <w:t>interrompre en cours d</w:t>
      </w:r>
      <w:r w:rsidRPr="00A86354" w:rsidR="0006032C">
        <w:rPr>
          <w:rFonts w:cs="Arial"/>
          <w:lang w:val="fr-FR"/>
        </w:rPr>
        <w:t>’</w:t>
      </w:r>
      <w:r w:rsidRPr="00A86354" w:rsidR="00436F36">
        <w:rPr>
          <w:rFonts w:cs="Arial"/>
          <w:lang w:val="fr-FR"/>
        </w:rPr>
        <w:t>année, alors que le changement trop fréquent d</w:t>
      </w:r>
      <w:r w:rsidRPr="00A86354" w:rsidR="0006032C">
        <w:rPr>
          <w:rFonts w:cs="Arial"/>
          <w:lang w:val="fr-FR"/>
        </w:rPr>
        <w:t>’</w:t>
      </w:r>
      <w:r w:rsidRPr="00A86354" w:rsidR="00436F36">
        <w:rPr>
          <w:rFonts w:cs="Arial"/>
          <w:lang w:val="fr-FR"/>
        </w:rPr>
        <w:t xml:space="preserve">accompagnant empêche un suivi de qualité pour les élèves) et </w:t>
      </w:r>
      <w:r w:rsidRPr="00A86354" w:rsidR="00F822EF">
        <w:rPr>
          <w:rFonts w:cs="Arial"/>
          <w:lang w:val="fr-FR"/>
        </w:rPr>
        <w:t>a assuré</w:t>
      </w:r>
      <w:r w:rsidRPr="00A86354" w:rsidR="00436F36">
        <w:rPr>
          <w:rFonts w:cs="Arial"/>
          <w:lang w:val="fr-FR"/>
        </w:rPr>
        <w:t xml:space="preserve"> une formation plus longue</w:t>
      </w:r>
      <w:r w:rsidRPr="00A86354" w:rsidR="00F822EF">
        <w:rPr>
          <w:rFonts w:cs="Arial"/>
          <w:lang w:val="fr-FR"/>
        </w:rPr>
        <w:t xml:space="preserve"> pour les nouveaux AESH. </w:t>
      </w:r>
      <w:r w:rsidRPr="00A86354" w:rsidR="008B632B">
        <w:rPr>
          <w:rFonts w:cs="Arial"/>
          <w:lang w:val="fr-FR"/>
        </w:rPr>
        <w:t xml:space="preserve">Il </w:t>
      </w:r>
      <w:r w:rsidRPr="00A86354" w:rsidR="00436F36">
        <w:rPr>
          <w:rFonts w:cs="Arial"/>
          <w:lang w:val="fr-FR"/>
        </w:rPr>
        <w:t xml:space="preserve">entend </w:t>
      </w:r>
      <w:r w:rsidRPr="00A86354" w:rsidR="00F822EF">
        <w:rPr>
          <w:rFonts w:cs="Arial"/>
          <w:lang w:val="fr-FR"/>
        </w:rPr>
        <w:t xml:space="preserve">ainsi </w:t>
      </w:r>
      <w:r w:rsidRPr="00A86354" w:rsidR="00436F36">
        <w:rPr>
          <w:rFonts w:cs="Arial"/>
          <w:lang w:val="fr-FR"/>
        </w:rPr>
        <w:t xml:space="preserve">revaloriser </w:t>
      </w:r>
      <w:r w:rsidRPr="00A86354" w:rsidR="00F822EF">
        <w:rPr>
          <w:rFonts w:cs="Arial"/>
          <w:lang w:val="fr-FR"/>
        </w:rPr>
        <w:t>l</w:t>
      </w:r>
      <w:r w:rsidRPr="00A86354" w:rsidR="00436F36">
        <w:rPr>
          <w:rFonts w:cs="Arial"/>
          <w:lang w:val="fr-FR"/>
        </w:rPr>
        <w:t xml:space="preserve">e statut </w:t>
      </w:r>
      <w:r w:rsidRPr="00A86354" w:rsidR="00F822EF">
        <w:rPr>
          <w:rFonts w:cs="Arial"/>
          <w:lang w:val="fr-FR"/>
        </w:rPr>
        <w:t xml:space="preserve">des AESH </w:t>
      </w:r>
      <w:r w:rsidRPr="00A86354" w:rsidR="00436F36">
        <w:rPr>
          <w:rFonts w:cs="Arial"/>
          <w:lang w:val="fr-FR"/>
        </w:rPr>
        <w:t xml:space="preserve">et </w:t>
      </w:r>
      <w:r w:rsidRPr="00A86354" w:rsidR="00F822EF">
        <w:rPr>
          <w:rFonts w:cs="Arial"/>
          <w:lang w:val="fr-FR"/>
        </w:rPr>
        <w:t xml:space="preserve">les </w:t>
      </w:r>
      <w:r w:rsidRPr="00A86354" w:rsidR="00436F36">
        <w:rPr>
          <w:rFonts w:cs="Arial"/>
          <w:lang w:val="fr-FR"/>
        </w:rPr>
        <w:t>recruter de façon plus</w:t>
      </w:r>
      <w:r w:rsidRPr="00A86354" w:rsidR="00F822EF">
        <w:rPr>
          <w:rFonts w:cs="Arial"/>
          <w:lang w:val="fr-FR"/>
        </w:rPr>
        <w:t xml:space="preserve"> pérenne</w:t>
      </w:r>
      <w:r w:rsidRPr="00A86354" w:rsidR="00CB58B9">
        <w:rPr>
          <w:rFonts w:cs="Arial"/>
          <w:lang w:val="fr-FR"/>
        </w:rPr>
        <w:t xml:space="preserve">.  </w:t>
      </w:r>
    </w:p>
    <w:p w:rsidRPr="00A86354" w:rsidR="00CB58B9" w:rsidP="00CB58B9" w:rsidRDefault="00CB58B9" w14:paraId="6940A0D5" w14:textId="77777777">
      <w:pPr>
        <w:pStyle w:val="ListParagraph"/>
        <w:rPr>
          <w:rFonts w:cs="Arial"/>
          <w:lang w:val="fr-FR"/>
        </w:rPr>
      </w:pPr>
    </w:p>
    <w:p w:rsidRPr="00A86354" w:rsidR="00C93DC9" w:rsidP="00CE016A" w:rsidRDefault="00F822EF" w14:paraId="2527B1FA" w14:textId="292E9AE5">
      <w:pPr>
        <w:pStyle w:val="ListParagraph"/>
        <w:numPr>
          <w:ilvl w:val="0"/>
          <w:numId w:val="1"/>
        </w:numPr>
        <w:ind w:left="0" w:firstLine="0"/>
        <w:rPr>
          <w:rFonts w:cs="Arial"/>
          <w:lang w:val="fr-FR"/>
        </w:rPr>
      </w:pPr>
      <w:r w:rsidRPr="00A86354">
        <w:rPr>
          <w:rFonts w:cs="Arial"/>
          <w:lang w:val="fr-FR"/>
        </w:rPr>
        <w:t>Cependant, la</w:t>
      </w:r>
      <w:r w:rsidRPr="00A86354" w:rsidR="00CB58B9">
        <w:rPr>
          <w:rFonts w:cs="Arial"/>
          <w:lang w:val="fr-FR"/>
        </w:rPr>
        <w:t xml:space="preserve"> CNCDH indi</w:t>
      </w:r>
      <w:r w:rsidRPr="00A86354">
        <w:rPr>
          <w:rFonts w:cs="Arial"/>
          <w:lang w:val="fr-FR"/>
        </w:rPr>
        <w:t>que que la</w:t>
      </w:r>
      <w:r w:rsidRPr="00A86354" w:rsidR="00CB58B9">
        <w:rPr>
          <w:rFonts w:cs="Arial"/>
          <w:lang w:val="fr-FR"/>
        </w:rPr>
        <w:t xml:space="preserve"> </w:t>
      </w:r>
      <w:r w:rsidRPr="00A86354">
        <w:rPr>
          <w:rFonts w:cs="Arial"/>
          <w:lang w:val="fr-FR"/>
        </w:rPr>
        <w:t>formation des</w:t>
      </w:r>
      <w:r w:rsidRPr="00A86354" w:rsidR="00CB58B9">
        <w:rPr>
          <w:rFonts w:cs="Arial"/>
          <w:lang w:val="fr-FR"/>
        </w:rPr>
        <w:t xml:space="preserve"> AESH</w:t>
      </w:r>
      <w:r w:rsidRPr="00A86354">
        <w:rPr>
          <w:rFonts w:cs="Arial"/>
          <w:lang w:val="fr-FR"/>
        </w:rPr>
        <w:t xml:space="preserve"> déjà en poste dépend plutôt de l</w:t>
      </w:r>
      <w:r w:rsidRPr="00A86354" w:rsidR="0006032C">
        <w:rPr>
          <w:rFonts w:cs="Arial"/>
          <w:lang w:val="fr-FR"/>
        </w:rPr>
        <w:t>’</w:t>
      </w:r>
      <w:r w:rsidRPr="00A86354">
        <w:rPr>
          <w:rFonts w:cs="Arial"/>
          <w:lang w:val="fr-FR"/>
        </w:rPr>
        <w:t>initiative personnelle</w:t>
      </w:r>
      <w:r w:rsidRPr="00A86354" w:rsidR="00CB58B9">
        <w:rPr>
          <w:rFonts w:cs="Arial"/>
          <w:lang w:val="fr-FR"/>
        </w:rPr>
        <w:t xml:space="preserve"> </w:t>
      </w:r>
      <w:r w:rsidRPr="00A86354">
        <w:rPr>
          <w:rFonts w:cs="Arial"/>
          <w:lang w:val="fr-FR"/>
        </w:rPr>
        <w:t>et qu</w:t>
      </w:r>
      <w:r w:rsidRPr="00A86354" w:rsidR="0006032C">
        <w:rPr>
          <w:rFonts w:cs="Arial"/>
          <w:lang w:val="fr-FR"/>
        </w:rPr>
        <w:t>’</w:t>
      </w:r>
      <w:r w:rsidRPr="00A86354">
        <w:rPr>
          <w:rFonts w:cs="Arial"/>
          <w:lang w:val="fr-FR"/>
        </w:rPr>
        <w:t>en l</w:t>
      </w:r>
      <w:r w:rsidRPr="00A86354" w:rsidR="0006032C">
        <w:rPr>
          <w:rFonts w:cs="Arial"/>
          <w:lang w:val="fr-FR"/>
        </w:rPr>
        <w:t>’</w:t>
      </w:r>
      <w:r w:rsidRPr="00A86354">
        <w:rPr>
          <w:rFonts w:cs="Arial"/>
          <w:lang w:val="fr-FR"/>
        </w:rPr>
        <w:t>absence de soutien et de formation initiale suffisante, les</w:t>
      </w:r>
      <w:r w:rsidRPr="00A86354" w:rsidR="00CB58B9">
        <w:rPr>
          <w:rFonts w:cs="Arial"/>
          <w:lang w:val="fr-FR"/>
        </w:rPr>
        <w:t xml:space="preserve"> AESH </w:t>
      </w:r>
      <w:r w:rsidRPr="00A86354">
        <w:rPr>
          <w:rFonts w:cs="Arial"/>
          <w:lang w:val="fr-FR"/>
        </w:rPr>
        <w:t>se trouvent démunis face à la spécificité de certains handicaps et ne parviennent pas à mettre en place une inclusion réelle des enfants handicapés</w:t>
      </w:r>
      <w:r w:rsidRPr="00A86354" w:rsidR="00CB58B9">
        <w:rPr>
          <w:rFonts w:cs="Arial"/>
          <w:lang w:val="fr-FR"/>
        </w:rPr>
        <w:t>.</w:t>
      </w:r>
      <w:r w:rsidRPr="00A86354">
        <w:rPr>
          <w:rFonts w:cs="Arial"/>
          <w:lang w:val="fr-FR"/>
        </w:rPr>
        <w:t xml:space="preserve"> </w:t>
      </w:r>
      <w:r w:rsidRPr="00A86354" w:rsidR="008B632B">
        <w:rPr>
          <w:rFonts w:cs="Arial"/>
          <w:lang w:val="fr-FR"/>
        </w:rPr>
        <w:t>Elle</w:t>
      </w:r>
      <w:r w:rsidRPr="00A86354" w:rsidR="00CB58B9">
        <w:rPr>
          <w:rFonts w:cs="Arial"/>
          <w:lang w:val="fr-FR"/>
        </w:rPr>
        <w:t xml:space="preserve"> </w:t>
      </w:r>
      <w:r w:rsidRPr="00A86354">
        <w:rPr>
          <w:rFonts w:cs="Arial"/>
          <w:lang w:val="fr-FR"/>
        </w:rPr>
        <w:t>souligne</w:t>
      </w:r>
      <w:r w:rsidRPr="00A86354">
        <w:rPr>
          <w:rFonts w:ascii="Times New Roman" w:hAnsi="Times New Roman" w:eastAsiaTheme="minorHAnsi"/>
          <w:color w:val="000000"/>
          <w:sz w:val="22"/>
          <w:szCs w:val="22"/>
          <w:lang w:val="fr-FR" w:eastAsia="en-US"/>
        </w:rPr>
        <w:t xml:space="preserve"> </w:t>
      </w:r>
      <w:r w:rsidRPr="00A86354">
        <w:rPr>
          <w:rFonts w:cs="Arial"/>
          <w:lang w:val="fr-FR"/>
        </w:rPr>
        <w:t xml:space="preserve">les différences entre des établissements scolaires bien équipés </w:t>
      </w:r>
      <w:r w:rsidRPr="00A86354" w:rsidR="002D12C5">
        <w:rPr>
          <w:rFonts w:cs="Arial"/>
          <w:lang w:val="fr-FR"/>
        </w:rPr>
        <w:t>pour assurer une inclusion efficace des enfants handicapés</w:t>
      </w:r>
      <w:r w:rsidRPr="00A86354">
        <w:rPr>
          <w:rFonts w:cs="Arial"/>
          <w:lang w:val="fr-FR"/>
        </w:rPr>
        <w:t>, et d</w:t>
      </w:r>
      <w:r w:rsidRPr="00A86354" w:rsidR="0006032C">
        <w:rPr>
          <w:rFonts w:cs="Arial"/>
          <w:lang w:val="fr-FR"/>
        </w:rPr>
        <w:t>’</w:t>
      </w:r>
      <w:r w:rsidRPr="00A86354">
        <w:rPr>
          <w:rFonts w:cs="Arial"/>
          <w:lang w:val="fr-FR"/>
        </w:rPr>
        <w:t>autres</w:t>
      </w:r>
      <w:r w:rsidRPr="00A86354" w:rsidR="00CB58B9">
        <w:rPr>
          <w:rFonts w:cs="Arial"/>
          <w:lang w:val="fr-FR"/>
        </w:rPr>
        <w:t xml:space="preserve"> </w:t>
      </w:r>
      <w:r w:rsidRPr="00A86354">
        <w:rPr>
          <w:rFonts w:cs="Arial"/>
          <w:lang w:val="fr-FR"/>
        </w:rPr>
        <w:t>où, faute d</w:t>
      </w:r>
      <w:r w:rsidRPr="00A86354" w:rsidR="0006032C">
        <w:rPr>
          <w:rFonts w:cs="Arial"/>
          <w:lang w:val="fr-FR"/>
        </w:rPr>
        <w:t>’</w:t>
      </w:r>
      <w:r w:rsidRPr="00A86354">
        <w:rPr>
          <w:rFonts w:cs="Arial"/>
          <w:lang w:val="fr-FR"/>
        </w:rPr>
        <w:t>outils numériques, d</w:t>
      </w:r>
      <w:r w:rsidRPr="00A86354" w:rsidR="0006032C">
        <w:rPr>
          <w:rFonts w:cs="Arial"/>
          <w:lang w:val="fr-FR"/>
        </w:rPr>
        <w:t>’</w:t>
      </w:r>
      <w:r w:rsidRPr="00A86354">
        <w:rPr>
          <w:rFonts w:cs="Arial"/>
          <w:lang w:val="fr-FR"/>
        </w:rPr>
        <w:t>AESH, de personnel formé</w:t>
      </w:r>
      <w:r w:rsidRPr="00A86354" w:rsidR="002D12C5">
        <w:rPr>
          <w:rFonts w:cs="Arial"/>
          <w:lang w:val="fr-FR"/>
        </w:rPr>
        <w:t xml:space="preserve"> </w:t>
      </w:r>
      <w:r w:rsidRPr="00A86354">
        <w:rPr>
          <w:rFonts w:cs="Arial"/>
          <w:lang w:val="fr-FR"/>
        </w:rPr>
        <w:t xml:space="preserve">à la question du handicap et </w:t>
      </w:r>
      <w:r w:rsidRPr="00A86354">
        <w:rPr>
          <w:rFonts w:cs="Arial"/>
          <w:lang w:val="fr-FR"/>
        </w:rPr>
        <w:lastRenderedPageBreak/>
        <w:t>même de locaux accessibles, les élèves en situation de handicap se trouvent exclus de certains cours et activités</w:t>
      </w:r>
      <w:r w:rsidRPr="00A86354" w:rsidR="00CB58B9">
        <w:rPr>
          <w:rFonts w:cs="Arial"/>
          <w:lang w:val="fr-FR"/>
        </w:rPr>
        <w:t xml:space="preserve">. </w:t>
      </w:r>
      <w:r w:rsidRPr="00A86354" w:rsidR="008B632B">
        <w:rPr>
          <w:rFonts w:cs="Arial"/>
          <w:lang w:val="fr-FR"/>
        </w:rPr>
        <w:t xml:space="preserve">Elle </w:t>
      </w:r>
      <w:r w:rsidRPr="00A86354">
        <w:rPr>
          <w:rFonts w:cs="Arial"/>
          <w:lang w:val="fr-FR"/>
        </w:rPr>
        <w:t>fait notamment valoir qu</w:t>
      </w:r>
      <w:r w:rsidRPr="00A86354" w:rsidR="0006032C">
        <w:rPr>
          <w:rFonts w:cs="Arial"/>
          <w:lang w:val="fr-FR"/>
        </w:rPr>
        <w:t>’</w:t>
      </w:r>
      <w:r w:rsidRPr="00A86354">
        <w:rPr>
          <w:rFonts w:cs="Arial"/>
          <w:lang w:val="fr-FR"/>
        </w:rPr>
        <w:t>une</w:t>
      </w:r>
      <w:r w:rsidRPr="00A86354" w:rsidR="00CB58B9">
        <w:rPr>
          <w:rFonts w:cs="Arial"/>
          <w:lang w:val="fr-FR"/>
        </w:rPr>
        <w:t xml:space="preserve"> </w:t>
      </w:r>
      <w:r w:rsidRPr="00A86354">
        <w:rPr>
          <w:rFonts w:cs="Arial"/>
          <w:lang w:val="fr-FR"/>
        </w:rPr>
        <w:t>part importante des enfants autistes ou polyhandicapés se trouvent, en l</w:t>
      </w:r>
      <w:r w:rsidRPr="00A86354" w:rsidR="0006032C">
        <w:rPr>
          <w:rFonts w:cs="Arial"/>
          <w:lang w:val="fr-FR"/>
        </w:rPr>
        <w:t>’</w:t>
      </w:r>
      <w:r w:rsidRPr="00A86354">
        <w:rPr>
          <w:rFonts w:cs="Arial"/>
          <w:lang w:val="fr-FR"/>
        </w:rPr>
        <w:t>absence de réponses adaptées à leurs besoins, exclus du système éducatif ordinaire en France</w:t>
      </w:r>
      <w:r w:rsidRPr="00A86354" w:rsidR="00CB58B9">
        <w:rPr>
          <w:rFonts w:cs="Arial"/>
          <w:lang w:val="fr-FR"/>
        </w:rPr>
        <w:t xml:space="preserve">, </w:t>
      </w:r>
      <w:r w:rsidRPr="00A86354">
        <w:rPr>
          <w:rFonts w:cs="Arial"/>
          <w:lang w:val="fr-FR"/>
        </w:rPr>
        <w:t>et l</w:t>
      </w:r>
      <w:r w:rsidRPr="00A86354" w:rsidR="0006032C">
        <w:rPr>
          <w:rFonts w:cs="Arial"/>
          <w:lang w:val="fr-FR"/>
        </w:rPr>
        <w:t>’</w:t>
      </w:r>
      <w:r w:rsidRPr="00A86354">
        <w:rPr>
          <w:rFonts w:cs="Arial"/>
          <w:lang w:val="fr-FR"/>
        </w:rPr>
        <w:t>on constate actuellement une diminution très importante du nombre d</w:t>
      </w:r>
      <w:r w:rsidRPr="00A86354" w:rsidR="0006032C">
        <w:rPr>
          <w:rFonts w:cs="Arial"/>
          <w:lang w:val="fr-FR"/>
        </w:rPr>
        <w:t>’</w:t>
      </w:r>
      <w:r w:rsidRPr="00A86354">
        <w:rPr>
          <w:rFonts w:cs="Arial"/>
          <w:lang w:val="fr-FR"/>
        </w:rPr>
        <w:t>élèves porteurs de handicap scolarisés</w:t>
      </w:r>
      <w:r w:rsidRPr="00A86354" w:rsidR="00777CD1">
        <w:rPr>
          <w:rFonts w:cs="Arial"/>
          <w:lang w:val="fr-FR"/>
        </w:rPr>
        <w:t xml:space="preserve">. </w:t>
      </w:r>
      <w:r w:rsidRPr="00A86354">
        <w:rPr>
          <w:rFonts w:cs="Arial"/>
          <w:lang w:val="fr-FR"/>
        </w:rPr>
        <w:t>Elle souligne qu</w:t>
      </w:r>
      <w:r w:rsidRPr="00A86354" w:rsidR="0006032C">
        <w:rPr>
          <w:rFonts w:cs="Arial"/>
          <w:lang w:val="fr-FR"/>
        </w:rPr>
        <w:t>’</w:t>
      </w:r>
      <w:r w:rsidRPr="00A86354">
        <w:rPr>
          <w:rFonts w:cs="Arial"/>
          <w:lang w:val="fr-FR"/>
        </w:rPr>
        <w:t>une</w:t>
      </w:r>
      <w:r w:rsidRPr="00A86354" w:rsidR="00C84E96">
        <w:rPr>
          <w:rFonts w:ascii="Times New Roman" w:hAnsi="Times New Roman" w:eastAsiaTheme="minorHAnsi"/>
          <w:i/>
          <w:iCs/>
          <w:color w:val="000000"/>
          <w:sz w:val="22"/>
          <w:szCs w:val="22"/>
          <w:lang w:val="fr-FR" w:eastAsia="en-US"/>
        </w:rPr>
        <w:t xml:space="preserve"> </w:t>
      </w:r>
      <w:r w:rsidRPr="00A86354" w:rsidR="00C84E96">
        <w:rPr>
          <w:rFonts w:cs="Arial"/>
          <w:lang w:val="fr-FR"/>
        </w:rPr>
        <w:t>politique globale de transformation du système éducatif est nécessaire pour assurer un accueil véritablement inclusif des enfants handicapés</w:t>
      </w:r>
      <w:r w:rsidRPr="00A86354" w:rsidR="005B3217">
        <w:rPr>
          <w:rFonts w:cs="Arial"/>
          <w:lang w:val="fr-FR"/>
        </w:rPr>
        <w:t xml:space="preserve">. </w:t>
      </w:r>
    </w:p>
    <w:p w:rsidRPr="00A86354" w:rsidR="00BA7DF8" w:rsidP="0000138F" w:rsidRDefault="00BA7DF8" w14:paraId="0BD2965C" w14:textId="3BD9AEFA">
      <w:pPr>
        <w:rPr>
          <w:rFonts w:ascii="Arial" w:hAnsi="Arial" w:cs="Arial"/>
          <w:lang w:val="fr-FR"/>
        </w:rPr>
      </w:pPr>
    </w:p>
    <w:p w:rsidRPr="00A86354" w:rsidR="00BA7DF8" w:rsidP="00BA7DF8" w:rsidRDefault="00BA7DF8" w14:paraId="291A8B4E" w14:textId="47DA66C4">
      <w:pPr>
        <w:pStyle w:val="ListParagraph"/>
        <w:ind w:left="360" w:hanging="360"/>
        <w:rPr>
          <w:rFonts w:cs="Arial"/>
          <w:i/>
          <w:iCs/>
          <w:lang w:val="fr-FR"/>
        </w:rPr>
      </w:pPr>
      <w:r w:rsidRPr="00A86354">
        <w:rPr>
          <w:rFonts w:cs="Arial"/>
          <w:i/>
          <w:iCs/>
          <w:lang w:val="fr-FR"/>
        </w:rPr>
        <w:t>Acc</w:t>
      </w:r>
      <w:r w:rsidRPr="00A86354" w:rsidR="00830990">
        <w:rPr>
          <w:rFonts w:cs="Arial"/>
          <w:i/>
          <w:iCs/>
          <w:lang w:val="fr-FR"/>
        </w:rPr>
        <w:t>ès aux soins</w:t>
      </w:r>
      <w:r w:rsidRPr="00A86354" w:rsidR="00D17F9F">
        <w:rPr>
          <w:rFonts w:cs="Arial"/>
          <w:i/>
          <w:iCs/>
          <w:lang w:val="fr-FR"/>
        </w:rPr>
        <w:t xml:space="preserve"> de santé</w:t>
      </w:r>
    </w:p>
    <w:p w:rsidRPr="00A86354" w:rsidR="00BA7DF8" w:rsidP="00BA7DF8" w:rsidRDefault="00BA7DF8" w14:paraId="77C1466A" w14:textId="77777777">
      <w:pPr>
        <w:rPr>
          <w:rFonts w:ascii="Arial" w:hAnsi="Arial" w:cs="Arial"/>
          <w:lang w:val="fr-FR"/>
        </w:rPr>
      </w:pPr>
    </w:p>
    <w:p w:rsidRPr="00A86354" w:rsidR="00B252F3" w:rsidP="00CE016A" w:rsidRDefault="00183666" w14:paraId="49517AEE" w14:textId="440BEC59">
      <w:pPr>
        <w:pStyle w:val="ListParagraph"/>
        <w:numPr>
          <w:ilvl w:val="0"/>
          <w:numId w:val="1"/>
        </w:numPr>
        <w:ind w:left="0" w:firstLine="0"/>
        <w:rPr>
          <w:rFonts w:cs="Arial"/>
          <w:lang w:val="fr-FR"/>
        </w:rPr>
      </w:pPr>
      <w:r w:rsidRPr="00A86354">
        <w:rPr>
          <w:rFonts w:cs="Arial"/>
          <w:lang w:val="fr-FR"/>
        </w:rPr>
        <w:t xml:space="preserve">Citant son avis de 2018 nommé </w:t>
      </w:r>
      <w:r w:rsidRPr="00A86354" w:rsidR="000807D5">
        <w:rPr>
          <w:rFonts w:cs="Arial"/>
          <w:lang w:val="fr-FR"/>
        </w:rPr>
        <w:t>« </w:t>
      </w:r>
      <w:r w:rsidRPr="00A86354">
        <w:rPr>
          <w:rFonts w:cs="Arial"/>
          <w:lang w:val="fr-FR"/>
        </w:rPr>
        <w:t>Agir contre les maltraitances dans le système de santé</w:t>
      </w:r>
      <w:r w:rsidRPr="00A86354" w:rsidR="000807D5">
        <w:rPr>
          <w:rFonts w:cs="Arial"/>
          <w:lang w:val="fr-FR"/>
        </w:rPr>
        <w:t> »</w:t>
      </w:r>
      <w:r w:rsidRPr="00A86354">
        <w:rPr>
          <w:rFonts w:cs="Arial"/>
          <w:lang w:val="fr-FR"/>
        </w:rPr>
        <w:t xml:space="preserve"> et le rapport 2019 de la Rapporteu</w:t>
      </w:r>
      <w:r w:rsidRPr="00A86354" w:rsidR="00F11691">
        <w:rPr>
          <w:rFonts w:cs="Arial"/>
          <w:lang w:val="fr-FR"/>
        </w:rPr>
        <w:t>s</w:t>
      </w:r>
      <w:r w:rsidRPr="00A86354">
        <w:rPr>
          <w:rFonts w:cs="Arial"/>
          <w:lang w:val="fr-FR"/>
        </w:rPr>
        <w:t>e spéciale des Nations Unies, la CNCDH indique que</w:t>
      </w:r>
      <w:r w:rsidRPr="00A86354" w:rsidR="000807EE">
        <w:rPr>
          <w:rFonts w:cs="Arial"/>
          <w:lang w:val="fr-FR"/>
        </w:rPr>
        <w:t xml:space="preserve"> </w:t>
      </w:r>
      <w:r w:rsidRPr="00A86354">
        <w:rPr>
          <w:rFonts w:cs="Arial"/>
          <w:lang w:val="fr-FR"/>
        </w:rPr>
        <w:t>le droit d</w:t>
      </w:r>
      <w:r w:rsidRPr="00A86354" w:rsidR="0006032C">
        <w:rPr>
          <w:rFonts w:cs="Arial"/>
          <w:lang w:val="fr-FR"/>
        </w:rPr>
        <w:t>’</w:t>
      </w:r>
      <w:r w:rsidRPr="00A86354">
        <w:rPr>
          <w:rFonts w:cs="Arial"/>
          <w:lang w:val="fr-FR"/>
        </w:rPr>
        <w:t>accès aux soins de santé est mis à mal en France pour les personnes en situation de handicap, bien que l</w:t>
      </w:r>
      <w:r w:rsidRPr="00A86354" w:rsidR="0006032C">
        <w:rPr>
          <w:rFonts w:cs="Arial"/>
          <w:lang w:val="fr-FR"/>
        </w:rPr>
        <w:t>’</w:t>
      </w:r>
      <w:r w:rsidRPr="00A86354">
        <w:rPr>
          <w:rFonts w:cs="Arial"/>
          <w:lang w:val="fr-FR"/>
        </w:rPr>
        <w:t>accès aux soins pour tous, sans discrimination, soit un droit garanti par le code de la santé publique</w:t>
      </w:r>
      <w:r w:rsidRPr="00A86354" w:rsidR="000807EE">
        <w:rPr>
          <w:rFonts w:cs="Arial"/>
          <w:lang w:val="fr-FR"/>
        </w:rPr>
        <w:t xml:space="preserve">. </w:t>
      </w:r>
      <w:r w:rsidRPr="00A86354" w:rsidR="008B632B">
        <w:rPr>
          <w:rFonts w:cs="Arial"/>
          <w:lang w:val="fr-FR"/>
        </w:rPr>
        <w:t>Elle</w:t>
      </w:r>
      <w:r w:rsidRPr="00A86354" w:rsidR="000807EE">
        <w:rPr>
          <w:rFonts w:cs="Arial"/>
          <w:lang w:val="fr-FR"/>
        </w:rPr>
        <w:t xml:space="preserve"> </w:t>
      </w:r>
      <w:r w:rsidRPr="00A86354">
        <w:rPr>
          <w:rFonts w:cs="Arial"/>
          <w:lang w:val="fr-FR"/>
        </w:rPr>
        <w:t>déplore que les refus de soins, sans réorientation, pour les personnes en situation de handicap, soient encore si nombreux</w:t>
      </w:r>
      <w:r w:rsidRPr="00A86354" w:rsidR="000807EE">
        <w:rPr>
          <w:rFonts w:cs="Arial"/>
          <w:lang w:val="fr-FR"/>
        </w:rPr>
        <w:t xml:space="preserve">. </w:t>
      </w:r>
      <w:r w:rsidRPr="00A86354">
        <w:rPr>
          <w:rFonts w:cs="Arial"/>
          <w:lang w:val="fr-FR"/>
        </w:rPr>
        <w:t>Ces refus prennent différentes formes qui vont du refus de prise en charge ponctuelle à des formes plus dissimulées telles que des délais très importants ou la non</w:t>
      </w:r>
      <w:r w:rsidRPr="00A86354" w:rsidR="008B632B">
        <w:rPr>
          <w:rFonts w:cs="Arial"/>
          <w:lang w:val="fr-FR"/>
        </w:rPr>
        <w:t>-</w:t>
      </w:r>
      <w:r w:rsidRPr="00A86354">
        <w:rPr>
          <w:rFonts w:cs="Arial"/>
          <w:lang w:val="fr-FR"/>
        </w:rPr>
        <w:t xml:space="preserve">mise aux normes des </w:t>
      </w:r>
      <w:r w:rsidRPr="00A86354" w:rsidR="002D12C5">
        <w:rPr>
          <w:rFonts w:cs="Arial"/>
          <w:lang w:val="fr-FR"/>
        </w:rPr>
        <w:t>pratiques médicales</w:t>
      </w:r>
      <w:r w:rsidRPr="00A86354">
        <w:rPr>
          <w:rFonts w:cs="Arial"/>
          <w:lang w:val="fr-FR"/>
        </w:rPr>
        <w:t>.</w:t>
      </w:r>
    </w:p>
    <w:p w:rsidRPr="00A86354" w:rsidR="00B252F3" w:rsidP="00A86354" w:rsidRDefault="00B252F3" w14:paraId="55E5CB49" w14:textId="77777777">
      <w:pPr>
        <w:pStyle w:val="ListParagraph"/>
        <w:rPr>
          <w:rFonts w:cs="Arial"/>
          <w:lang w:val="fr-FR"/>
        </w:rPr>
      </w:pPr>
    </w:p>
    <w:p w:rsidRPr="00A86354" w:rsidR="00D63209" w:rsidP="00CE016A" w:rsidRDefault="00183666" w14:paraId="018438E9" w14:textId="5871A959">
      <w:pPr>
        <w:pStyle w:val="ListParagraph"/>
        <w:numPr>
          <w:ilvl w:val="0"/>
          <w:numId w:val="1"/>
        </w:numPr>
        <w:ind w:left="0" w:firstLine="0"/>
        <w:rPr>
          <w:rFonts w:cs="Arial"/>
          <w:lang w:val="fr-FR"/>
        </w:rPr>
      </w:pPr>
      <w:r w:rsidRPr="00A86354">
        <w:rPr>
          <w:rFonts w:cs="Arial"/>
          <w:lang w:val="fr-FR"/>
        </w:rPr>
        <w:t>La</w:t>
      </w:r>
      <w:r w:rsidRPr="00A86354" w:rsidR="00B252F3">
        <w:rPr>
          <w:rFonts w:cs="Arial"/>
          <w:lang w:val="fr-FR"/>
        </w:rPr>
        <w:t xml:space="preserve"> CNCDH </w:t>
      </w:r>
      <w:r w:rsidRPr="00A86354">
        <w:rPr>
          <w:rFonts w:cs="Arial"/>
          <w:lang w:val="fr-FR"/>
        </w:rPr>
        <w:t>souligne aussi les</w:t>
      </w:r>
      <w:r w:rsidRPr="00A86354" w:rsidR="00B252F3">
        <w:rPr>
          <w:rFonts w:cs="Arial"/>
          <w:lang w:val="fr-FR"/>
        </w:rPr>
        <w:t xml:space="preserve"> </w:t>
      </w:r>
      <w:r w:rsidRPr="00A86354">
        <w:rPr>
          <w:rFonts w:cs="Arial"/>
          <w:lang w:val="fr-FR"/>
        </w:rPr>
        <w:t>problèmes d</w:t>
      </w:r>
      <w:r w:rsidRPr="00A86354" w:rsidR="0006032C">
        <w:rPr>
          <w:rFonts w:cs="Arial"/>
          <w:lang w:val="fr-FR"/>
        </w:rPr>
        <w:t>’</w:t>
      </w:r>
      <w:r w:rsidRPr="00A86354">
        <w:rPr>
          <w:rFonts w:cs="Arial"/>
          <w:lang w:val="fr-FR"/>
        </w:rPr>
        <w:t>accès à l</w:t>
      </w:r>
      <w:r w:rsidRPr="00A86354" w:rsidR="0006032C">
        <w:rPr>
          <w:rFonts w:cs="Arial"/>
          <w:lang w:val="fr-FR"/>
        </w:rPr>
        <w:t>’</w:t>
      </w:r>
      <w:r w:rsidRPr="00A86354">
        <w:rPr>
          <w:rFonts w:cs="Arial"/>
          <w:lang w:val="fr-FR"/>
        </w:rPr>
        <w:t>information en matière de santé rencontrés par les personnes en situation de handicap, qui ne sont pas informées ou sont parfois mal informées,</w:t>
      </w:r>
      <w:r w:rsidRPr="00A86354" w:rsidR="00B252F3">
        <w:rPr>
          <w:rFonts w:cs="Arial"/>
          <w:lang w:val="fr-FR"/>
        </w:rPr>
        <w:t xml:space="preserve"> </w:t>
      </w:r>
      <w:r w:rsidRPr="00A86354">
        <w:rPr>
          <w:rFonts w:cs="Arial"/>
          <w:lang w:val="fr-FR"/>
        </w:rPr>
        <w:t>notamment</w:t>
      </w:r>
      <w:r w:rsidRPr="00A86354" w:rsidR="00B252F3">
        <w:rPr>
          <w:rFonts w:cs="Arial"/>
          <w:lang w:val="fr-FR"/>
        </w:rPr>
        <w:t xml:space="preserve"> </w:t>
      </w:r>
      <w:r w:rsidRPr="00A86354">
        <w:rPr>
          <w:rFonts w:cs="Arial"/>
          <w:lang w:val="fr-FR"/>
        </w:rPr>
        <w:t>sur les questions de contraception</w:t>
      </w:r>
      <w:r w:rsidRPr="00A86354" w:rsidR="00B252F3">
        <w:rPr>
          <w:rFonts w:cs="Arial"/>
          <w:lang w:val="fr-FR"/>
        </w:rPr>
        <w:t xml:space="preserve">. </w:t>
      </w:r>
      <w:r w:rsidRPr="00A86354" w:rsidR="00384A25">
        <w:rPr>
          <w:rFonts w:cs="Arial"/>
          <w:lang w:val="fr-FR"/>
        </w:rPr>
        <w:t xml:space="preserve"> </w:t>
      </w:r>
      <w:r w:rsidRPr="00A86354" w:rsidR="00B252F3">
        <w:rPr>
          <w:rFonts w:cs="Arial"/>
          <w:lang w:val="fr-FR"/>
        </w:rPr>
        <w:t xml:space="preserve">  </w:t>
      </w:r>
    </w:p>
    <w:p w:rsidRPr="00A86354" w:rsidR="00D63209" w:rsidP="003F3E41" w:rsidRDefault="00D63209" w14:paraId="3FC57942" w14:textId="77777777">
      <w:pPr>
        <w:rPr>
          <w:rFonts w:ascii="Arial" w:hAnsi="Arial" w:cs="Arial"/>
          <w:lang w:val="fr-FR"/>
        </w:rPr>
      </w:pPr>
    </w:p>
    <w:p w:rsidRPr="00A86354" w:rsidR="00D63209" w:rsidP="00CE016A" w:rsidRDefault="00183666" w14:paraId="5CDED0BA" w14:textId="3551F86C">
      <w:pPr>
        <w:pStyle w:val="ListParagraph"/>
        <w:numPr>
          <w:ilvl w:val="0"/>
          <w:numId w:val="1"/>
        </w:numPr>
        <w:ind w:left="0" w:firstLine="0"/>
        <w:rPr>
          <w:rFonts w:cs="Arial"/>
          <w:lang w:val="fr-FR"/>
        </w:rPr>
      </w:pPr>
      <w:r w:rsidRPr="00A86354">
        <w:rPr>
          <w:rFonts w:cs="Arial"/>
          <w:lang w:val="fr-FR"/>
        </w:rPr>
        <w:t>Enfin, la</w:t>
      </w:r>
      <w:r w:rsidRPr="00A86354" w:rsidR="00D63209">
        <w:rPr>
          <w:rFonts w:cs="Arial"/>
          <w:lang w:val="fr-FR"/>
        </w:rPr>
        <w:t xml:space="preserve"> CNCDH expl</w:t>
      </w:r>
      <w:r w:rsidRPr="00A86354">
        <w:rPr>
          <w:rFonts w:cs="Arial"/>
          <w:lang w:val="fr-FR"/>
        </w:rPr>
        <w:t>ique que</w:t>
      </w:r>
      <w:r w:rsidRPr="00A86354">
        <w:rPr>
          <w:rFonts w:cs="Arial" w:eastAsiaTheme="minorHAnsi"/>
          <w:color w:val="000000"/>
          <w:sz w:val="22"/>
          <w:szCs w:val="22"/>
          <w:lang w:val="fr-FR" w:eastAsia="en-US"/>
        </w:rPr>
        <w:t xml:space="preserve"> </w:t>
      </w:r>
      <w:r w:rsidRPr="00A86354">
        <w:rPr>
          <w:rFonts w:cs="Arial"/>
          <w:lang w:val="fr-FR"/>
        </w:rPr>
        <w:t>des personnes en situation de handicap se retrouvent également dans des centres en Belgique, faute de moyens en France, ce qui rend très difficile le maintien du lien familial.</w:t>
      </w:r>
      <w:r w:rsidRPr="00A86354" w:rsidR="00D63209">
        <w:rPr>
          <w:rFonts w:cs="Arial"/>
          <w:lang w:val="fr-FR"/>
        </w:rPr>
        <w:t xml:space="preserve"> </w:t>
      </w:r>
      <w:r w:rsidRPr="00A86354">
        <w:rPr>
          <w:rFonts w:cs="Arial"/>
          <w:lang w:val="fr-FR"/>
        </w:rPr>
        <w:t xml:space="preserve">Certaines familles résident à des centaines de kilomètres des centres où les personnes en situation de handicap sont </w:t>
      </w:r>
      <w:r w:rsidRPr="00A86354" w:rsidR="00FF58E1">
        <w:rPr>
          <w:rFonts w:cs="Arial"/>
          <w:lang w:val="fr-FR"/>
        </w:rPr>
        <w:t>prises en charge</w:t>
      </w:r>
      <w:r w:rsidRPr="00A86354" w:rsidR="00D63209">
        <w:rPr>
          <w:rFonts w:cs="Arial"/>
          <w:lang w:val="fr-FR"/>
        </w:rPr>
        <w:t xml:space="preserve">. </w:t>
      </w:r>
    </w:p>
    <w:p w:rsidRPr="00A86354" w:rsidR="00743D52" w:rsidP="00743D52" w:rsidRDefault="00743D52" w14:paraId="4AB50C3C" w14:textId="1EA32BEC">
      <w:pPr>
        <w:pStyle w:val="ListParagraph"/>
        <w:rPr>
          <w:rFonts w:cs="Arial"/>
          <w:lang w:val="fr-FR"/>
        </w:rPr>
      </w:pPr>
    </w:p>
    <w:p w:rsidRPr="00A86354" w:rsidR="00743D52" w:rsidP="00743D52" w:rsidRDefault="00EB4474" w14:paraId="74D8B334" w14:textId="6ECB1148">
      <w:pPr>
        <w:pStyle w:val="ListParagraph"/>
        <w:rPr>
          <w:rFonts w:cs="Arial"/>
          <w:i/>
          <w:iCs/>
          <w:lang w:val="fr-FR"/>
        </w:rPr>
      </w:pPr>
      <w:r w:rsidRPr="00A86354">
        <w:rPr>
          <w:rFonts w:cs="Arial"/>
          <w:i/>
          <w:iCs/>
          <w:lang w:val="fr-FR"/>
        </w:rPr>
        <w:t>Aide financière</w:t>
      </w:r>
    </w:p>
    <w:p w:rsidRPr="00A86354" w:rsidR="00743D52" w:rsidP="00743D52" w:rsidRDefault="00743D52" w14:paraId="4F59510C" w14:textId="77777777">
      <w:pPr>
        <w:pStyle w:val="ListParagraph"/>
        <w:rPr>
          <w:rFonts w:cs="Arial"/>
          <w:lang w:val="fr-FR"/>
        </w:rPr>
      </w:pPr>
    </w:p>
    <w:p w:rsidRPr="00A86354" w:rsidR="00F71E3F" w:rsidP="00CE016A" w:rsidRDefault="00EB4474" w14:paraId="45A87873" w14:textId="2232253E">
      <w:pPr>
        <w:pStyle w:val="ListParagraph"/>
        <w:numPr>
          <w:ilvl w:val="0"/>
          <w:numId w:val="1"/>
        </w:numPr>
        <w:ind w:left="0" w:firstLine="0"/>
        <w:rPr>
          <w:rFonts w:cs="Arial"/>
          <w:lang w:val="fr-FR"/>
        </w:rPr>
      </w:pPr>
      <w:r w:rsidRPr="00A86354">
        <w:rPr>
          <w:rFonts w:cs="Arial"/>
          <w:lang w:val="fr-FR"/>
        </w:rPr>
        <w:t xml:space="preserve">La </w:t>
      </w:r>
      <w:r w:rsidRPr="00A86354" w:rsidR="00743D52">
        <w:rPr>
          <w:rFonts w:cs="Arial"/>
          <w:lang w:val="fr-FR"/>
        </w:rPr>
        <w:t xml:space="preserve">CNCDH </w:t>
      </w:r>
      <w:r w:rsidRPr="00A86354">
        <w:rPr>
          <w:rFonts w:cs="Arial"/>
          <w:lang w:val="fr-FR"/>
        </w:rPr>
        <w:t>indique que,</w:t>
      </w:r>
      <w:r w:rsidRPr="00A86354">
        <w:rPr>
          <w:rFonts w:ascii="Times New Roman" w:hAnsi="Times New Roman" w:eastAsiaTheme="minorHAnsi"/>
          <w:color w:val="000000"/>
          <w:sz w:val="22"/>
          <w:szCs w:val="22"/>
          <w:lang w:val="fr-FR" w:eastAsia="en-US"/>
        </w:rPr>
        <w:t xml:space="preserve"> </w:t>
      </w:r>
      <w:r w:rsidRPr="00A86354">
        <w:rPr>
          <w:rFonts w:cs="Arial"/>
          <w:lang w:val="fr-FR"/>
        </w:rPr>
        <w:t>malgré la revalorisation de l</w:t>
      </w:r>
      <w:r w:rsidRPr="00A86354" w:rsidR="0006032C">
        <w:rPr>
          <w:rFonts w:cs="Arial"/>
          <w:lang w:val="fr-FR"/>
        </w:rPr>
        <w:t>’</w:t>
      </w:r>
      <w:r w:rsidRPr="00A86354">
        <w:rPr>
          <w:rFonts w:cs="Arial"/>
          <w:lang w:val="fr-FR"/>
        </w:rPr>
        <w:t>allocation adulte handicapé</w:t>
      </w:r>
      <w:r w:rsidRPr="00A86354" w:rsidR="004E6607">
        <w:rPr>
          <w:rFonts w:cs="Arial"/>
          <w:lang w:val="fr-FR"/>
        </w:rPr>
        <w:t xml:space="preserve"> (AAH)</w:t>
      </w:r>
      <w:r w:rsidRPr="00A86354" w:rsidR="00A252D7">
        <w:rPr>
          <w:rFonts w:cs="Arial"/>
          <w:lang w:val="fr-FR"/>
        </w:rPr>
        <w:t>,</w:t>
      </w:r>
      <w:r w:rsidRPr="00A86354">
        <w:rPr>
          <w:rFonts w:cs="Arial"/>
          <w:lang w:val="fr-FR"/>
        </w:rPr>
        <w:t xml:space="preserve"> l</w:t>
      </w:r>
      <w:r w:rsidRPr="00A86354" w:rsidR="0006032C">
        <w:rPr>
          <w:rFonts w:cs="Arial"/>
          <w:lang w:val="fr-FR"/>
        </w:rPr>
        <w:t>’</w:t>
      </w:r>
      <w:r w:rsidRPr="00A86354">
        <w:rPr>
          <w:rFonts w:cs="Arial"/>
          <w:lang w:val="fr-FR"/>
        </w:rPr>
        <w:t>augmentation de la prestation de compensation</w:t>
      </w:r>
      <w:r w:rsidRPr="00A86354" w:rsidR="004514D4">
        <w:rPr>
          <w:rFonts w:cs="Arial"/>
          <w:lang w:val="fr-FR"/>
        </w:rPr>
        <w:t xml:space="preserve"> (PCH)</w:t>
      </w:r>
      <w:r w:rsidRPr="00A86354">
        <w:rPr>
          <w:rFonts w:cs="Arial"/>
          <w:lang w:val="fr-FR"/>
        </w:rPr>
        <w:t xml:space="preserve"> handicap et la simplification d</w:t>
      </w:r>
      <w:r w:rsidRPr="00A86354" w:rsidR="0006032C">
        <w:rPr>
          <w:rFonts w:cs="Arial"/>
          <w:lang w:val="fr-FR"/>
        </w:rPr>
        <w:t>’</w:t>
      </w:r>
      <w:r w:rsidRPr="00A86354">
        <w:rPr>
          <w:rFonts w:cs="Arial"/>
          <w:lang w:val="fr-FR"/>
        </w:rPr>
        <w:t>un certain nombre de démarches pour accéder à ces aides plus facilement, trop de personnes en situation de handicap vivent encore dans la précarité, sous le seuil de pauvreté. D</w:t>
      </w:r>
      <w:r w:rsidRPr="00A86354" w:rsidR="0006032C">
        <w:rPr>
          <w:rFonts w:cs="Arial"/>
          <w:lang w:val="fr-FR"/>
        </w:rPr>
        <w:t>’</w:t>
      </w:r>
      <w:r w:rsidRPr="00A86354">
        <w:rPr>
          <w:rFonts w:cs="Arial"/>
          <w:lang w:val="fr-FR"/>
        </w:rPr>
        <w:t>après l</w:t>
      </w:r>
      <w:r w:rsidRPr="00A86354" w:rsidR="0006032C">
        <w:rPr>
          <w:rFonts w:cs="Arial"/>
          <w:lang w:val="fr-FR"/>
        </w:rPr>
        <w:t>’</w:t>
      </w:r>
      <w:r w:rsidRPr="00A86354">
        <w:rPr>
          <w:rFonts w:cs="Arial"/>
          <w:lang w:val="fr-FR"/>
        </w:rPr>
        <w:t xml:space="preserve">étude publiée par la </w:t>
      </w:r>
      <w:r w:rsidRPr="00A86354" w:rsidR="00A252D7">
        <w:rPr>
          <w:rFonts w:cs="Arial"/>
          <w:lang w:val="fr-FR"/>
        </w:rPr>
        <w:t>Direction de la recherche, des études, de l</w:t>
      </w:r>
      <w:r w:rsidRPr="00A86354" w:rsidR="0006032C">
        <w:rPr>
          <w:rFonts w:cs="Arial"/>
          <w:lang w:val="fr-FR"/>
        </w:rPr>
        <w:t>’</w:t>
      </w:r>
      <w:r w:rsidRPr="00A86354" w:rsidR="00A252D7">
        <w:rPr>
          <w:rFonts w:cs="Arial"/>
          <w:lang w:val="fr-FR"/>
        </w:rPr>
        <w:t>évaluation et des statistiques du ministère des Solidarités et de la Santé</w:t>
      </w:r>
      <w:r w:rsidRPr="00A86354">
        <w:rPr>
          <w:rFonts w:cs="Arial"/>
          <w:lang w:val="fr-FR"/>
        </w:rPr>
        <w:t>, en 2010, le niveau de vie annuel médian des personnes handicapées âgées de 15 à 64 ans s</w:t>
      </w:r>
      <w:r w:rsidRPr="00A86354" w:rsidR="0006032C">
        <w:rPr>
          <w:rFonts w:cs="Arial"/>
          <w:lang w:val="fr-FR"/>
        </w:rPr>
        <w:t>’</w:t>
      </w:r>
      <w:r w:rsidRPr="00A86354">
        <w:rPr>
          <w:rFonts w:cs="Arial"/>
          <w:lang w:val="fr-FR"/>
        </w:rPr>
        <w:t>élève à 18</w:t>
      </w:r>
      <w:r w:rsidRPr="00A86354" w:rsidR="008B632B">
        <w:rPr>
          <w:rFonts w:cs="Arial"/>
          <w:lang w:val="fr-FR"/>
        </w:rPr>
        <w:t> </w:t>
      </w:r>
      <w:r w:rsidRPr="00A86354">
        <w:rPr>
          <w:rFonts w:cs="Arial"/>
          <w:lang w:val="fr-FR"/>
        </w:rPr>
        <w:t>500</w:t>
      </w:r>
      <w:r w:rsidRPr="00A86354" w:rsidR="008B632B">
        <w:rPr>
          <w:rFonts w:cs="Arial"/>
          <w:lang w:val="fr-FR"/>
        </w:rPr>
        <w:t> </w:t>
      </w:r>
      <w:r w:rsidRPr="00A86354" w:rsidR="00E245AA">
        <w:rPr>
          <w:rFonts w:cs="Arial"/>
          <w:lang w:val="fr-FR"/>
        </w:rPr>
        <w:t>EUR</w:t>
      </w:r>
      <w:r w:rsidRPr="00A86354">
        <w:rPr>
          <w:rFonts w:cs="Arial"/>
          <w:lang w:val="fr-FR"/>
        </w:rPr>
        <w:t xml:space="preserve">, soit 2 000 </w:t>
      </w:r>
      <w:r w:rsidRPr="00A86354" w:rsidR="00E245AA">
        <w:rPr>
          <w:rFonts w:cs="Arial"/>
          <w:lang w:val="fr-FR"/>
        </w:rPr>
        <w:t>EUR</w:t>
      </w:r>
      <w:r w:rsidRPr="00A86354">
        <w:rPr>
          <w:rFonts w:cs="Arial"/>
          <w:lang w:val="fr-FR"/>
        </w:rPr>
        <w:t xml:space="preserve"> de moins que celui des personnes sans handicap. Cet écart s</w:t>
      </w:r>
      <w:r w:rsidRPr="00A86354" w:rsidR="0006032C">
        <w:rPr>
          <w:rFonts w:cs="Arial"/>
          <w:lang w:val="fr-FR"/>
        </w:rPr>
        <w:t>’</w:t>
      </w:r>
      <w:r w:rsidRPr="00A86354">
        <w:rPr>
          <w:rFonts w:cs="Arial"/>
          <w:lang w:val="fr-FR"/>
        </w:rPr>
        <w:t>avère d</w:t>
      </w:r>
      <w:r w:rsidRPr="00A86354" w:rsidR="0006032C">
        <w:rPr>
          <w:rFonts w:cs="Arial"/>
          <w:lang w:val="fr-FR"/>
        </w:rPr>
        <w:t>’</w:t>
      </w:r>
      <w:r w:rsidRPr="00A86354">
        <w:rPr>
          <w:rFonts w:cs="Arial"/>
          <w:lang w:val="fr-FR"/>
        </w:rPr>
        <w:t xml:space="preserve">autant plus important que la limitation est sévère. Le niveau de vie médian des personnes ayant une limitation sévère est de 16 800 </w:t>
      </w:r>
      <w:r w:rsidRPr="00A86354" w:rsidR="00E245AA">
        <w:rPr>
          <w:rFonts w:cs="Arial"/>
          <w:lang w:val="fr-FR"/>
        </w:rPr>
        <w:t>EUR</w:t>
      </w:r>
      <w:r w:rsidRPr="00A86354" w:rsidR="00A252D7">
        <w:rPr>
          <w:rFonts w:cs="Arial"/>
          <w:lang w:val="fr-FR"/>
        </w:rPr>
        <w:t>. De plus, le taux de chômeurs handicapés est deux fois supérieur à la moyenne nationale</w:t>
      </w:r>
      <w:r w:rsidRPr="00A86354" w:rsidR="000807D5">
        <w:rPr>
          <w:rFonts w:cs="Arial"/>
          <w:lang w:val="fr-FR"/>
        </w:rPr>
        <w:t> :</w:t>
      </w:r>
      <w:r w:rsidRPr="00A86354" w:rsidR="00A252D7">
        <w:rPr>
          <w:rFonts w:cs="Arial"/>
          <w:lang w:val="fr-FR"/>
        </w:rPr>
        <w:t xml:space="preserve"> entre 2016 et 2019, le taux de chômeurs handicapés a augmenté de 4,7 %, et 49 % de ces demandeurs d</w:t>
      </w:r>
      <w:r w:rsidRPr="00A86354" w:rsidR="0006032C">
        <w:rPr>
          <w:rFonts w:cs="Arial"/>
          <w:lang w:val="fr-FR"/>
        </w:rPr>
        <w:t>’</w:t>
      </w:r>
      <w:r w:rsidRPr="00A86354" w:rsidR="00A252D7">
        <w:rPr>
          <w:rFonts w:cs="Arial"/>
          <w:lang w:val="fr-FR"/>
        </w:rPr>
        <w:t>emploi ont 50 ans et plus (contre 25 % pour la population globale).</w:t>
      </w:r>
    </w:p>
    <w:p w:rsidRPr="00A86354" w:rsidR="00F71E3F" w:rsidP="00F23B6F" w:rsidRDefault="00F71E3F" w14:paraId="4EB9B9BC" w14:textId="77777777">
      <w:pPr>
        <w:pStyle w:val="ListParagraph"/>
        <w:rPr>
          <w:rFonts w:cs="Arial"/>
          <w:lang w:val="fr-FR"/>
        </w:rPr>
      </w:pPr>
    </w:p>
    <w:p w:rsidRPr="00A86354" w:rsidR="00F23B6F" w:rsidP="00F23B6F" w:rsidRDefault="00F23B6F" w14:paraId="649DBCFC" w14:textId="77777777">
      <w:pPr>
        <w:rPr>
          <w:rFonts w:ascii="Arial" w:hAnsi="Arial" w:cs="Arial"/>
          <w:i/>
          <w:iCs/>
          <w:lang w:val="fr-FR"/>
        </w:rPr>
      </w:pPr>
      <w:r w:rsidRPr="00A86354">
        <w:rPr>
          <w:rFonts w:ascii="Arial" w:hAnsi="Arial" w:cs="Arial"/>
          <w:i/>
          <w:iCs/>
          <w:lang w:val="fr-FR"/>
        </w:rPr>
        <w:t>Conclusion</w:t>
      </w:r>
    </w:p>
    <w:p w:rsidRPr="00A86354" w:rsidR="00743D52" w:rsidP="00CE016A" w:rsidRDefault="00EB4474" w14:paraId="33F11F43" w14:textId="1B76E516">
      <w:pPr>
        <w:pStyle w:val="ListParagraph"/>
        <w:numPr>
          <w:ilvl w:val="0"/>
          <w:numId w:val="1"/>
        </w:numPr>
        <w:ind w:left="0" w:firstLine="0"/>
        <w:rPr>
          <w:rFonts w:cs="Arial"/>
          <w:lang w:val="fr-FR"/>
        </w:rPr>
      </w:pPr>
      <w:r w:rsidRPr="00A86354">
        <w:rPr>
          <w:rFonts w:cs="Arial"/>
          <w:lang w:val="fr-FR"/>
        </w:rPr>
        <w:lastRenderedPageBreak/>
        <w:t xml:space="preserve">La </w:t>
      </w:r>
      <w:r w:rsidRPr="00A86354" w:rsidR="00F23B6F">
        <w:rPr>
          <w:rFonts w:cs="Arial"/>
          <w:lang w:val="fr-FR"/>
        </w:rPr>
        <w:t>CNCDH conclu</w:t>
      </w:r>
      <w:r w:rsidRPr="00A86354" w:rsidR="00A252D7">
        <w:rPr>
          <w:rFonts w:cs="Arial"/>
          <w:lang w:val="fr-FR"/>
        </w:rPr>
        <w:t>t qu</w:t>
      </w:r>
      <w:r w:rsidRPr="00A86354" w:rsidR="0006032C">
        <w:rPr>
          <w:rFonts w:cs="Arial"/>
          <w:lang w:val="fr-FR"/>
        </w:rPr>
        <w:t>’</w:t>
      </w:r>
      <w:r w:rsidRPr="00A86354" w:rsidR="00A252D7">
        <w:rPr>
          <w:rFonts w:cs="Arial"/>
          <w:lang w:val="fr-FR"/>
        </w:rPr>
        <w:t>e</w:t>
      </w:r>
      <w:r w:rsidRPr="00A86354" w:rsidR="00743D52">
        <w:rPr>
          <w:rFonts w:cs="Arial"/>
          <w:lang w:val="fr-FR"/>
        </w:rPr>
        <w:t xml:space="preserve">n France, </w:t>
      </w:r>
      <w:r w:rsidRPr="00A86354" w:rsidR="00A252D7">
        <w:rPr>
          <w:rFonts w:cs="Arial"/>
          <w:lang w:val="fr-FR"/>
        </w:rPr>
        <w:t>les personnes en situation de handicap sont actuellement encore discriminées, souffrent d</w:t>
      </w:r>
      <w:r w:rsidRPr="00A86354" w:rsidR="0006032C">
        <w:rPr>
          <w:rFonts w:cs="Arial"/>
          <w:lang w:val="fr-FR"/>
        </w:rPr>
        <w:t>’</w:t>
      </w:r>
      <w:r w:rsidRPr="00A86354" w:rsidR="00A252D7">
        <w:rPr>
          <w:rFonts w:cs="Arial"/>
          <w:lang w:val="fr-FR"/>
        </w:rPr>
        <w:t>une forme d</w:t>
      </w:r>
      <w:r w:rsidRPr="00A86354" w:rsidR="0006032C">
        <w:rPr>
          <w:rFonts w:cs="Arial"/>
          <w:lang w:val="fr-FR"/>
        </w:rPr>
        <w:t>’</w:t>
      </w:r>
      <w:r w:rsidRPr="00A86354" w:rsidR="00A252D7">
        <w:rPr>
          <w:rFonts w:cs="Arial"/>
          <w:lang w:val="fr-FR"/>
        </w:rPr>
        <w:t>exclusion sociale et les entraves à leur autonomie et à la pleine participation à la vie de la société perdurent, faute d</w:t>
      </w:r>
      <w:r w:rsidRPr="00A86354" w:rsidR="0006032C">
        <w:rPr>
          <w:rFonts w:cs="Arial"/>
          <w:lang w:val="fr-FR"/>
        </w:rPr>
        <w:t>’</w:t>
      </w:r>
      <w:r w:rsidRPr="00A86354" w:rsidR="00A252D7">
        <w:rPr>
          <w:rFonts w:cs="Arial"/>
          <w:lang w:val="fr-FR"/>
        </w:rPr>
        <w:t>une réponse coordonnée et suffisante</w:t>
      </w:r>
      <w:r w:rsidRPr="00A86354" w:rsidR="00A252D7">
        <w:rPr>
          <w:rFonts w:cs="Arial"/>
          <w:b/>
          <w:bCs/>
          <w:lang w:val="fr-FR"/>
        </w:rPr>
        <w:t xml:space="preserve"> </w:t>
      </w:r>
      <w:r w:rsidRPr="00A86354" w:rsidR="00A252D7">
        <w:rPr>
          <w:rFonts w:cs="Arial"/>
          <w:lang w:val="fr-FR"/>
        </w:rPr>
        <w:t>de la part des autorités</w:t>
      </w:r>
      <w:r w:rsidRPr="00A86354" w:rsidR="00F23B6F">
        <w:rPr>
          <w:rFonts w:cs="Arial"/>
          <w:lang w:val="fr-FR"/>
        </w:rPr>
        <w:t xml:space="preserve">. </w:t>
      </w:r>
      <w:r w:rsidRPr="00A86354" w:rsidR="00A252D7">
        <w:rPr>
          <w:rFonts w:cs="Arial"/>
          <w:lang w:val="fr-FR"/>
        </w:rPr>
        <w:t>Le droit des individus à l</w:t>
      </w:r>
      <w:r w:rsidRPr="00A86354" w:rsidR="0006032C">
        <w:rPr>
          <w:rFonts w:cs="Arial"/>
          <w:lang w:val="fr-FR"/>
        </w:rPr>
        <w:t>’</w:t>
      </w:r>
      <w:r w:rsidRPr="00A86354" w:rsidR="00A252D7">
        <w:rPr>
          <w:rFonts w:cs="Arial"/>
          <w:lang w:val="fr-FR"/>
        </w:rPr>
        <w:t>autonomie et à la pleine participation à la vie de la communauté n</w:t>
      </w:r>
      <w:r w:rsidRPr="00A86354" w:rsidR="0006032C">
        <w:rPr>
          <w:rFonts w:cs="Arial"/>
          <w:lang w:val="fr-FR"/>
        </w:rPr>
        <w:t>’</w:t>
      </w:r>
      <w:r w:rsidRPr="00A86354" w:rsidR="00A252D7">
        <w:rPr>
          <w:rFonts w:cs="Arial"/>
          <w:lang w:val="fr-FR"/>
        </w:rPr>
        <w:t>est pas suffisamment garanti.</w:t>
      </w:r>
      <w:r w:rsidRPr="00A86354" w:rsidR="001B30B3">
        <w:rPr>
          <w:rFonts w:cs="Arial"/>
          <w:lang w:val="fr-FR"/>
        </w:rPr>
        <w:t xml:space="preserve"> </w:t>
      </w:r>
      <w:r w:rsidRPr="00A86354" w:rsidR="00F23B6F">
        <w:rPr>
          <w:rFonts w:cs="Arial"/>
          <w:lang w:val="fr-FR"/>
        </w:rPr>
        <w:t xml:space="preserve"> </w:t>
      </w:r>
    </w:p>
    <w:p w:rsidRPr="00A86354" w:rsidR="00F23B6F" w:rsidP="00F23B6F" w:rsidRDefault="00F23B6F" w14:paraId="0D634A93" w14:textId="3530AA11">
      <w:pPr>
        <w:pStyle w:val="ListParagraph"/>
        <w:rPr>
          <w:rFonts w:cs="Arial"/>
          <w:lang w:val="fr-FR"/>
        </w:rPr>
      </w:pPr>
    </w:p>
    <w:p w:rsidRPr="00A86354" w:rsidR="00F23B6F" w:rsidP="00F23B6F" w:rsidRDefault="00F23B6F" w14:paraId="3128F195" w14:textId="33054600">
      <w:pPr>
        <w:ind w:left="360" w:hanging="360"/>
        <w:rPr>
          <w:rFonts w:ascii="Arial" w:hAnsi="Arial" w:cs="Arial"/>
          <w:b/>
          <w:lang w:val="fr-FR"/>
        </w:rPr>
      </w:pPr>
      <w:r w:rsidRPr="00A86354">
        <w:rPr>
          <w:rFonts w:ascii="Arial" w:hAnsi="Arial" w:cs="Arial"/>
          <w:b/>
          <w:lang w:val="fr-FR"/>
        </w:rPr>
        <w:t xml:space="preserve">B – </w:t>
      </w:r>
      <w:r w:rsidRPr="00A86354" w:rsidR="001525B1">
        <w:rPr>
          <w:rFonts w:ascii="Arial" w:hAnsi="Arial" w:cs="Arial"/>
          <w:b/>
          <w:lang w:val="fr-FR"/>
        </w:rPr>
        <w:t xml:space="preserve">Défenseur des </w:t>
      </w:r>
      <w:r w:rsidRPr="00A86354" w:rsidR="008B632B">
        <w:rPr>
          <w:rFonts w:ascii="Arial" w:hAnsi="Arial" w:cs="Arial"/>
          <w:b/>
          <w:lang w:val="fr-FR"/>
        </w:rPr>
        <w:t>d</w:t>
      </w:r>
      <w:r w:rsidRPr="00A86354" w:rsidR="001525B1">
        <w:rPr>
          <w:rFonts w:ascii="Arial" w:hAnsi="Arial" w:cs="Arial"/>
          <w:b/>
          <w:lang w:val="fr-FR"/>
        </w:rPr>
        <w:t>roits</w:t>
      </w:r>
    </w:p>
    <w:p w:rsidRPr="00A86354" w:rsidR="00F23B6F" w:rsidP="00F23B6F" w:rsidRDefault="00F23B6F" w14:paraId="39E3C738" w14:textId="68192C22">
      <w:pPr>
        <w:pStyle w:val="ListParagraph"/>
        <w:rPr>
          <w:rFonts w:cs="Arial"/>
          <w:lang w:val="fr-FR"/>
        </w:rPr>
      </w:pPr>
    </w:p>
    <w:p w:rsidRPr="00A86354" w:rsidR="003977A3" w:rsidP="00CE016A" w:rsidRDefault="003C4598" w14:paraId="7FB85FF8" w14:textId="17BDBBB8">
      <w:pPr>
        <w:pStyle w:val="ListParagraph"/>
        <w:numPr>
          <w:ilvl w:val="0"/>
          <w:numId w:val="1"/>
        </w:numPr>
        <w:ind w:left="0" w:firstLine="0"/>
        <w:rPr>
          <w:rFonts w:cs="Arial"/>
          <w:lang w:val="fr-FR"/>
        </w:rPr>
      </w:pPr>
      <w:r w:rsidRPr="00A86354">
        <w:rPr>
          <w:rFonts w:cs="Arial"/>
          <w:lang w:val="fr-FR"/>
        </w:rPr>
        <w:t>Le Défenseur des droits est une autorité administrative indépendante de rang constitutionnel</w:t>
      </w:r>
      <w:r w:rsidRPr="00A86354" w:rsidR="003977A3">
        <w:rPr>
          <w:rFonts w:cs="Arial"/>
          <w:lang w:val="fr-FR"/>
        </w:rPr>
        <w:t>, cr</w:t>
      </w:r>
      <w:r w:rsidRPr="00A86354">
        <w:rPr>
          <w:rFonts w:cs="Arial"/>
          <w:lang w:val="fr-FR"/>
        </w:rPr>
        <w:t>éé</w:t>
      </w:r>
      <w:r w:rsidRPr="00A86354" w:rsidR="0040523D">
        <w:rPr>
          <w:rFonts w:cs="Arial"/>
          <w:lang w:val="fr-FR"/>
        </w:rPr>
        <w:t>e</w:t>
      </w:r>
      <w:r w:rsidRPr="00A86354">
        <w:rPr>
          <w:rFonts w:cs="Arial"/>
          <w:lang w:val="fr-FR"/>
        </w:rPr>
        <w:t xml:space="preserve"> e</w:t>
      </w:r>
      <w:r w:rsidRPr="00A86354" w:rsidR="003977A3">
        <w:rPr>
          <w:rFonts w:cs="Arial"/>
          <w:lang w:val="fr-FR"/>
        </w:rPr>
        <w:t xml:space="preserve">n 2011, </w:t>
      </w:r>
      <w:r w:rsidRPr="00A86354">
        <w:rPr>
          <w:rFonts w:cs="Arial"/>
          <w:lang w:val="fr-FR"/>
        </w:rPr>
        <w:t>qui veille au respect des droits et libertés par les administrations de l</w:t>
      </w:r>
      <w:r w:rsidRPr="00A86354" w:rsidR="0006032C">
        <w:rPr>
          <w:rFonts w:cs="Arial"/>
          <w:lang w:val="fr-FR"/>
        </w:rPr>
        <w:t>’</w:t>
      </w:r>
      <w:r w:rsidRPr="00A86354">
        <w:rPr>
          <w:rFonts w:cs="Arial"/>
          <w:lang w:val="fr-FR"/>
        </w:rPr>
        <w:t>État, les collectivités territoriales, les établissements publics, ainsi que par tout organisme investi d</w:t>
      </w:r>
      <w:r w:rsidRPr="00A86354" w:rsidR="0006032C">
        <w:rPr>
          <w:rFonts w:cs="Arial"/>
          <w:lang w:val="fr-FR"/>
        </w:rPr>
        <w:t>’</w:t>
      </w:r>
      <w:r w:rsidRPr="00A86354">
        <w:rPr>
          <w:rFonts w:cs="Arial"/>
          <w:lang w:val="fr-FR"/>
        </w:rPr>
        <w:t>une mission de service public. Toute personne qui s</w:t>
      </w:r>
      <w:r w:rsidRPr="00A86354" w:rsidR="0006032C">
        <w:rPr>
          <w:rFonts w:cs="Arial"/>
          <w:lang w:val="fr-FR"/>
        </w:rPr>
        <w:t>’</w:t>
      </w:r>
      <w:r w:rsidRPr="00A86354">
        <w:rPr>
          <w:rFonts w:cs="Arial"/>
          <w:lang w:val="fr-FR"/>
        </w:rPr>
        <w:t xml:space="preserve">estime lésée dans ses droits par le fonctionnement </w:t>
      </w:r>
      <w:r w:rsidRPr="00A86354" w:rsidR="009127BF">
        <w:rPr>
          <w:rFonts w:cs="Arial"/>
          <w:lang w:val="fr-FR"/>
        </w:rPr>
        <w:t>de ces organes peut saisir le Défenseur des droits, qui</w:t>
      </w:r>
      <w:r w:rsidRPr="00A86354">
        <w:rPr>
          <w:rFonts w:cs="Arial"/>
          <w:lang w:val="fr-FR"/>
        </w:rPr>
        <w:t xml:space="preserve"> peut également se saisir d</w:t>
      </w:r>
      <w:r w:rsidRPr="00A86354" w:rsidR="0006032C">
        <w:rPr>
          <w:rFonts w:cs="Arial"/>
          <w:lang w:val="fr-FR"/>
        </w:rPr>
        <w:t>’</w:t>
      </w:r>
      <w:r w:rsidRPr="00A86354">
        <w:rPr>
          <w:rFonts w:cs="Arial"/>
          <w:lang w:val="fr-FR"/>
        </w:rPr>
        <w:t>office</w:t>
      </w:r>
      <w:r w:rsidRPr="00A86354" w:rsidR="009127BF">
        <w:rPr>
          <w:rFonts w:cs="Arial"/>
          <w:lang w:val="fr-FR"/>
        </w:rPr>
        <w:t>.</w:t>
      </w:r>
      <w:r w:rsidRPr="00A86354" w:rsidR="003977A3">
        <w:rPr>
          <w:rFonts w:cs="Arial" w:eastAsiaTheme="minorHAnsi"/>
          <w:color w:val="000000"/>
          <w:lang w:val="fr-FR" w:eastAsia="en-US"/>
        </w:rPr>
        <w:t xml:space="preserve"> </w:t>
      </w:r>
    </w:p>
    <w:p w:rsidRPr="00A86354" w:rsidR="003977A3" w:rsidP="00F23B6F" w:rsidRDefault="003977A3" w14:paraId="292BFE02" w14:textId="77777777">
      <w:pPr>
        <w:pStyle w:val="ListParagraph"/>
        <w:rPr>
          <w:rFonts w:cs="Arial"/>
          <w:lang w:val="fr-FR"/>
        </w:rPr>
      </w:pPr>
    </w:p>
    <w:p w:rsidRPr="00A86354" w:rsidR="009F66FD" w:rsidP="0030570F" w:rsidRDefault="0030570F" w14:paraId="74FC86DC" w14:textId="3283B5AA">
      <w:pPr>
        <w:rPr>
          <w:rFonts w:ascii="Arial" w:hAnsi="Arial" w:cs="Arial"/>
          <w:i/>
          <w:iCs/>
          <w:lang w:val="fr-FR"/>
        </w:rPr>
      </w:pPr>
      <w:r w:rsidRPr="00A86354">
        <w:rPr>
          <w:rFonts w:ascii="Arial" w:hAnsi="Arial" w:cs="Arial"/>
          <w:i/>
          <w:iCs/>
          <w:lang w:val="fr-FR"/>
        </w:rPr>
        <w:t>Absence de politique coordonnée en vue de l</w:t>
      </w:r>
      <w:r w:rsidRPr="00A86354" w:rsidR="0006032C">
        <w:rPr>
          <w:rFonts w:ascii="Arial" w:hAnsi="Arial" w:cs="Arial"/>
          <w:i/>
          <w:iCs/>
          <w:lang w:val="fr-FR"/>
        </w:rPr>
        <w:t>’</w:t>
      </w:r>
      <w:r w:rsidRPr="00A86354">
        <w:rPr>
          <w:rFonts w:ascii="Arial" w:hAnsi="Arial" w:cs="Arial"/>
          <w:i/>
          <w:iCs/>
          <w:lang w:val="fr-FR"/>
        </w:rPr>
        <w:t>intégration sociale et de la participation à la vie de la communauté</w:t>
      </w:r>
      <w:r w:rsidRPr="00A86354" w:rsidR="009F66FD">
        <w:rPr>
          <w:rFonts w:ascii="Arial" w:hAnsi="Arial" w:cs="Arial"/>
          <w:i/>
          <w:iCs/>
          <w:lang w:val="fr-FR"/>
        </w:rPr>
        <w:t xml:space="preserve"> </w:t>
      </w:r>
    </w:p>
    <w:p w:rsidRPr="00A86354" w:rsidR="001B30B3" w:rsidP="00F23B6F" w:rsidRDefault="001B30B3" w14:paraId="10D09EB5" w14:textId="77777777">
      <w:pPr>
        <w:pStyle w:val="ListParagraph"/>
        <w:rPr>
          <w:rFonts w:cs="Arial"/>
          <w:lang w:val="fr-FR"/>
        </w:rPr>
      </w:pPr>
    </w:p>
    <w:p w:rsidRPr="00A86354" w:rsidR="003977A3" w:rsidP="00CE016A" w:rsidRDefault="0040523D" w14:paraId="22FA2651" w14:textId="2B5308DB">
      <w:pPr>
        <w:pStyle w:val="ListParagraph"/>
        <w:numPr>
          <w:ilvl w:val="0"/>
          <w:numId w:val="1"/>
        </w:numPr>
        <w:ind w:left="0" w:firstLine="0"/>
        <w:rPr>
          <w:rFonts w:cs="Arial"/>
          <w:lang w:val="fr-FR"/>
        </w:rPr>
      </w:pPr>
      <w:r w:rsidRPr="00A86354">
        <w:rPr>
          <w:rFonts w:cs="Arial"/>
          <w:lang w:val="fr-FR"/>
        </w:rPr>
        <w:t>La Défenseure des droits considère que</w:t>
      </w:r>
      <w:r w:rsidRPr="00A86354" w:rsidR="001B30B3">
        <w:rPr>
          <w:rFonts w:cs="Arial"/>
          <w:lang w:val="fr-FR"/>
        </w:rPr>
        <w:t xml:space="preserve">, </w:t>
      </w:r>
      <w:r w:rsidRPr="00A86354">
        <w:rPr>
          <w:rFonts w:cs="Arial"/>
          <w:lang w:val="fr-FR"/>
        </w:rPr>
        <w:t>si des progrès ont été réalisés ces dernières années</w:t>
      </w:r>
      <w:r w:rsidRPr="00A86354" w:rsidR="001B30B3">
        <w:rPr>
          <w:rFonts w:cs="Arial"/>
          <w:lang w:val="fr-FR"/>
        </w:rPr>
        <w:t>,</w:t>
      </w:r>
      <w:r w:rsidRPr="00A86354">
        <w:rPr>
          <w:rFonts w:cs="Arial"/>
          <w:lang w:val="fr-FR"/>
        </w:rPr>
        <w:t xml:space="preserve"> la</w:t>
      </w:r>
      <w:r w:rsidRPr="00A86354" w:rsidR="001B30B3">
        <w:rPr>
          <w:rFonts w:cs="Arial"/>
          <w:lang w:val="fr-FR"/>
        </w:rPr>
        <w:t xml:space="preserve"> France </w:t>
      </w:r>
      <w:r w:rsidRPr="00A86354">
        <w:rPr>
          <w:rFonts w:cs="Arial"/>
          <w:lang w:val="fr-FR"/>
        </w:rPr>
        <w:t>n</w:t>
      </w:r>
      <w:r w:rsidRPr="00A86354" w:rsidR="0006032C">
        <w:rPr>
          <w:rFonts w:cs="Arial"/>
          <w:lang w:val="fr-FR"/>
        </w:rPr>
        <w:t>’</w:t>
      </w:r>
      <w:r w:rsidRPr="00A86354">
        <w:rPr>
          <w:rFonts w:cs="Arial"/>
          <w:lang w:val="fr-FR"/>
        </w:rPr>
        <w:t>a pas pris pleinement en considération le changement de modèle induit par la CIDPH, fondé sur une approche par les droits, dans l</w:t>
      </w:r>
      <w:r w:rsidRPr="00A86354" w:rsidR="0006032C">
        <w:rPr>
          <w:rFonts w:cs="Arial"/>
          <w:lang w:val="fr-FR"/>
        </w:rPr>
        <w:t>’</w:t>
      </w:r>
      <w:r w:rsidRPr="00A86354">
        <w:rPr>
          <w:rFonts w:cs="Arial"/>
          <w:lang w:val="fr-FR"/>
        </w:rPr>
        <w:t>élaboration et la mise en œuvre des politiques publiques</w:t>
      </w:r>
      <w:r w:rsidRPr="00A86354" w:rsidR="001B30B3">
        <w:rPr>
          <w:rFonts w:cs="Arial"/>
          <w:lang w:val="fr-FR"/>
        </w:rPr>
        <w:t>.</w:t>
      </w:r>
    </w:p>
    <w:p w:rsidRPr="00A86354" w:rsidR="001B30B3" w:rsidP="001B30B3" w:rsidRDefault="001B30B3" w14:paraId="0E1AF094" w14:textId="77777777">
      <w:pPr>
        <w:pStyle w:val="ListParagraph"/>
        <w:rPr>
          <w:rFonts w:cs="Arial"/>
          <w:lang w:val="fr-FR"/>
        </w:rPr>
      </w:pPr>
    </w:p>
    <w:p w:rsidRPr="00A86354" w:rsidR="001B30B3" w:rsidP="00CE016A" w:rsidRDefault="0040523D" w14:paraId="4886F5DB" w14:textId="6BDDB541">
      <w:pPr>
        <w:pStyle w:val="ListParagraph"/>
        <w:numPr>
          <w:ilvl w:val="0"/>
          <w:numId w:val="1"/>
        </w:numPr>
        <w:ind w:left="0" w:firstLine="0"/>
        <w:rPr>
          <w:rFonts w:cs="Arial"/>
          <w:lang w:val="fr-FR"/>
        </w:rPr>
      </w:pPr>
      <w:r w:rsidRPr="00A86354">
        <w:rPr>
          <w:rFonts w:cs="Arial"/>
          <w:lang w:val="fr-FR"/>
        </w:rPr>
        <w:t>La Défenseure des droits souligne à cet égard</w:t>
      </w:r>
      <w:r w:rsidRPr="00A86354" w:rsidR="001B30B3">
        <w:rPr>
          <w:rFonts w:cs="Arial"/>
          <w:lang w:val="fr-FR"/>
        </w:rPr>
        <w:t xml:space="preserve"> </w:t>
      </w:r>
      <w:r w:rsidRPr="00A86354">
        <w:rPr>
          <w:rFonts w:cs="Arial"/>
          <w:lang w:val="fr-FR"/>
        </w:rPr>
        <w:t>que</w:t>
      </w:r>
      <w:r w:rsidRPr="00A86354">
        <w:rPr>
          <w:lang w:val="fr-FR"/>
        </w:rPr>
        <w:t xml:space="preserve"> </w:t>
      </w:r>
      <w:r w:rsidRPr="00A86354">
        <w:rPr>
          <w:rFonts w:cs="Arial"/>
          <w:lang w:val="fr-FR"/>
        </w:rPr>
        <w:t>la définition nationale du handicap, introduite par la loi de 2005, n</w:t>
      </w:r>
      <w:r w:rsidRPr="00A86354" w:rsidR="0006032C">
        <w:rPr>
          <w:rFonts w:cs="Arial"/>
          <w:lang w:val="fr-FR"/>
        </w:rPr>
        <w:t>’</w:t>
      </w:r>
      <w:r w:rsidRPr="00A86354">
        <w:rPr>
          <w:rFonts w:cs="Arial"/>
          <w:lang w:val="fr-FR"/>
        </w:rPr>
        <w:t xml:space="preserve">identifie pas les barrières environnementales comme un </w:t>
      </w:r>
      <w:r w:rsidRPr="00A86354" w:rsidR="000807D5">
        <w:rPr>
          <w:rFonts w:cs="Arial"/>
          <w:lang w:val="fr-FR"/>
        </w:rPr>
        <w:t>« </w:t>
      </w:r>
      <w:r w:rsidRPr="00A86354">
        <w:rPr>
          <w:rFonts w:cs="Arial"/>
          <w:lang w:val="fr-FR"/>
        </w:rPr>
        <w:t>facteur causal</w:t>
      </w:r>
      <w:r w:rsidRPr="00A86354" w:rsidR="000807D5">
        <w:rPr>
          <w:rFonts w:cs="Arial"/>
          <w:lang w:val="fr-FR"/>
        </w:rPr>
        <w:t> »</w:t>
      </w:r>
      <w:r w:rsidRPr="00A86354">
        <w:rPr>
          <w:rFonts w:cs="Arial"/>
          <w:lang w:val="fr-FR"/>
        </w:rPr>
        <w:t xml:space="preserve"> sur lequel il convient d</w:t>
      </w:r>
      <w:r w:rsidRPr="00A86354" w:rsidR="0006032C">
        <w:rPr>
          <w:rFonts w:cs="Arial"/>
          <w:lang w:val="fr-FR"/>
        </w:rPr>
        <w:t>’</w:t>
      </w:r>
      <w:r w:rsidRPr="00A86354">
        <w:rPr>
          <w:rFonts w:cs="Arial"/>
          <w:lang w:val="fr-FR"/>
        </w:rPr>
        <w:t>agir pour prévenir ou remédier aux situations de handicap. En conséquence, le handicap lui-même est désigné comme cause des difficultés rencontrées par l</w:t>
      </w:r>
      <w:r w:rsidRPr="00A86354" w:rsidR="0006032C">
        <w:rPr>
          <w:rFonts w:cs="Arial"/>
          <w:lang w:val="fr-FR"/>
        </w:rPr>
        <w:t>’</w:t>
      </w:r>
      <w:r w:rsidRPr="00A86354">
        <w:rPr>
          <w:rFonts w:cs="Arial"/>
          <w:lang w:val="fr-FR"/>
        </w:rPr>
        <w:t>individu pour s</w:t>
      </w:r>
      <w:r w:rsidRPr="00A86354" w:rsidR="0006032C">
        <w:rPr>
          <w:rFonts w:cs="Arial"/>
          <w:lang w:val="fr-FR"/>
        </w:rPr>
        <w:t>’</w:t>
      </w:r>
      <w:r w:rsidRPr="00A86354">
        <w:rPr>
          <w:rFonts w:cs="Arial"/>
          <w:lang w:val="fr-FR"/>
        </w:rPr>
        <w:t>insérer dans la société</w:t>
      </w:r>
      <w:r w:rsidRPr="00A86354" w:rsidR="001B30B3">
        <w:rPr>
          <w:rFonts w:cs="Arial"/>
          <w:lang w:val="fr-FR"/>
        </w:rPr>
        <w:t xml:space="preserve">. </w:t>
      </w:r>
      <w:r w:rsidRPr="00A86354">
        <w:rPr>
          <w:rFonts w:cs="Arial"/>
          <w:lang w:val="fr-FR"/>
        </w:rPr>
        <w:t>Cette</w:t>
      </w:r>
      <w:r w:rsidRPr="00A86354" w:rsidR="001B30B3">
        <w:rPr>
          <w:rFonts w:cs="Arial"/>
          <w:lang w:val="fr-FR"/>
        </w:rPr>
        <w:t xml:space="preserve"> </w:t>
      </w:r>
      <w:r w:rsidRPr="00A86354">
        <w:rPr>
          <w:rFonts w:cs="Arial"/>
          <w:lang w:val="fr-FR"/>
        </w:rPr>
        <w:t>approche</w:t>
      </w:r>
      <w:r w:rsidRPr="00A86354">
        <w:rPr>
          <w:lang w:val="fr-FR"/>
        </w:rPr>
        <w:t xml:space="preserve"> </w:t>
      </w:r>
      <w:r w:rsidRPr="00A86354">
        <w:rPr>
          <w:rFonts w:cs="Arial"/>
          <w:lang w:val="fr-FR"/>
        </w:rPr>
        <w:t>met prioritairement l</w:t>
      </w:r>
      <w:r w:rsidRPr="00A86354" w:rsidR="0006032C">
        <w:rPr>
          <w:rFonts w:cs="Arial"/>
          <w:lang w:val="fr-FR"/>
        </w:rPr>
        <w:t>’</w:t>
      </w:r>
      <w:r w:rsidRPr="00A86354">
        <w:rPr>
          <w:rFonts w:cs="Arial"/>
          <w:lang w:val="fr-FR"/>
        </w:rPr>
        <w:t>accent sur les réponses à apporter en matière de compensation individuelle et de manière seulement subsidiaire sur la transformation de l</w:t>
      </w:r>
      <w:r w:rsidRPr="00A86354" w:rsidR="0006032C">
        <w:rPr>
          <w:rFonts w:cs="Arial"/>
          <w:lang w:val="fr-FR"/>
        </w:rPr>
        <w:t>’</w:t>
      </w:r>
      <w:r w:rsidRPr="00A86354">
        <w:rPr>
          <w:rFonts w:cs="Arial"/>
          <w:lang w:val="fr-FR"/>
        </w:rPr>
        <w:t>environnement dans un objectif de société inclusive</w:t>
      </w:r>
      <w:r w:rsidRPr="00A86354" w:rsidR="001B30B3">
        <w:rPr>
          <w:rFonts w:cs="Arial"/>
          <w:lang w:val="fr-FR"/>
        </w:rPr>
        <w:t xml:space="preserve">. </w:t>
      </w:r>
    </w:p>
    <w:p w:rsidRPr="00A86354" w:rsidR="000679E4" w:rsidP="00B7440C" w:rsidRDefault="000679E4" w14:paraId="75E84A42" w14:textId="77777777">
      <w:pPr>
        <w:pStyle w:val="ListParagraph"/>
        <w:rPr>
          <w:rFonts w:cs="Arial"/>
          <w:lang w:val="fr-FR"/>
        </w:rPr>
      </w:pPr>
    </w:p>
    <w:p w:rsidRPr="00A86354" w:rsidR="00215F49" w:rsidP="00CE016A" w:rsidRDefault="0040523D" w14:paraId="7AA95559" w14:textId="4D9EF6EF">
      <w:pPr>
        <w:pStyle w:val="ListParagraph"/>
        <w:numPr>
          <w:ilvl w:val="0"/>
          <w:numId w:val="1"/>
        </w:numPr>
        <w:ind w:left="0" w:firstLine="0"/>
        <w:rPr>
          <w:rFonts w:cs="Arial"/>
          <w:lang w:val="fr-FR"/>
        </w:rPr>
      </w:pPr>
      <w:r w:rsidRPr="00A86354">
        <w:rPr>
          <w:rFonts w:cs="Arial"/>
          <w:lang w:val="fr-FR"/>
        </w:rPr>
        <w:t>Selon</w:t>
      </w:r>
      <w:r w:rsidRPr="00A86354" w:rsidR="000679E4">
        <w:rPr>
          <w:rFonts w:cs="Arial"/>
          <w:lang w:val="fr-FR"/>
        </w:rPr>
        <w:t xml:space="preserve"> </w:t>
      </w:r>
      <w:r w:rsidRPr="00A86354">
        <w:rPr>
          <w:rFonts w:cs="Arial"/>
          <w:lang w:val="fr-FR"/>
        </w:rPr>
        <w:t>la Défenseure des droits</w:t>
      </w:r>
      <w:r w:rsidRPr="00A86354" w:rsidR="000679E4">
        <w:rPr>
          <w:rFonts w:cs="Arial"/>
          <w:lang w:val="fr-FR"/>
        </w:rPr>
        <w:t xml:space="preserve">, </w:t>
      </w:r>
      <w:r w:rsidRPr="00A86354">
        <w:rPr>
          <w:rFonts w:cs="Arial"/>
          <w:lang w:val="fr-FR"/>
        </w:rPr>
        <w:t xml:space="preserve">les informations statistiques et </w:t>
      </w:r>
      <w:r w:rsidRPr="00A86354" w:rsidR="00301A0E">
        <w:rPr>
          <w:rFonts w:cs="Arial"/>
          <w:lang w:val="fr-FR"/>
        </w:rPr>
        <w:t>l</w:t>
      </w:r>
      <w:r w:rsidRPr="00A86354">
        <w:rPr>
          <w:rFonts w:cs="Arial"/>
          <w:lang w:val="fr-FR"/>
        </w:rPr>
        <w:t>es études sur le handicap souffrent d</w:t>
      </w:r>
      <w:r w:rsidRPr="00A86354" w:rsidR="0006032C">
        <w:rPr>
          <w:rFonts w:cs="Arial"/>
          <w:lang w:val="fr-FR"/>
        </w:rPr>
        <w:t>’</w:t>
      </w:r>
      <w:r w:rsidRPr="00A86354">
        <w:rPr>
          <w:rFonts w:cs="Arial"/>
          <w:lang w:val="fr-FR"/>
        </w:rPr>
        <w:t>un défaut de coordination et de pilotage national, d</w:t>
      </w:r>
      <w:r w:rsidRPr="00A86354" w:rsidR="0006032C">
        <w:rPr>
          <w:rFonts w:cs="Arial"/>
          <w:lang w:val="fr-FR"/>
        </w:rPr>
        <w:t>’</w:t>
      </w:r>
      <w:r w:rsidRPr="00A86354">
        <w:rPr>
          <w:rFonts w:cs="Arial"/>
          <w:lang w:val="fr-FR"/>
        </w:rPr>
        <w:t>où un manque de visibilité et de comparabilité des données produites</w:t>
      </w:r>
      <w:r w:rsidRPr="00A86354" w:rsidR="000679E4">
        <w:rPr>
          <w:rFonts w:cs="Arial"/>
          <w:lang w:val="fr-FR"/>
        </w:rPr>
        <w:t xml:space="preserve">. </w:t>
      </w:r>
      <w:r w:rsidRPr="00A86354" w:rsidR="00301A0E">
        <w:rPr>
          <w:rFonts w:cs="Arial"/>
          <w:lang w:val="fr-FR"/>
        </w:rPr>
        <w:t>S</w:t>
      </w:r>
      <w:r w:rsidRPr="00A86354" w:rsidR="0006032C">
        <w:rPr>
          <w:rFonts w:cs="Arial"/>
          <w:lang w:val="fr-FR"/>
        </w:rPr>
        <w:t>’</w:t>
      </w:r>
      <w:r w:rsidRPr="00A86354" w:rsidR="00301A0E">
        <w:rPr>
          <w:rFonts w:cs="Arial"/>
          <w:lang w:val="fr-FR"/>
        </w:rPr>
        <w:t>il existe de multiples sources de données statistiques sur le handicap, la difficulté provient principalement de l</w:t>
      </w:r>
      <w:r w:rsidRPr="00A86354" w:rsidR="0006032C">
        <w:rPr>
          <w:rFonts w:cs="Arial"/>
          <w:lang w:val="fr-FR"/>
        </w:rPr>
        <w:t>’</w:t>
      </w:r>
      <w:r w:rsidRPr="00A86354" w:rsidR="00301A0E">
        <w:rPr>
          <w:rFonts w:cs="Arial"/>
          <w:lang w:val="fr-FR"/>
        </w:rPr>
        <w:t>hétérogénéité des données recueillies, selon des périodicités et des finalités différentes. En outre, du fait de l</w:t>
      </w:r>
      <w:r w:rsidRPr="00A86354" w:rsidR="0006032C">
        <w:rPr>
          <w:rFonts w:cs="Arial"/>
          <w:lang w:val="fr-FR"/>
        </w:rPr>
        <w:t>’</w:t>
      </w:r>
      <w:r w:rsidRPr="00A86354" w:rsidR="00301A0E">
        <w:rPr>
          <w:rFonts w:cs="Arial"/>
          <w:lang w:val="fr-FR"/>
        </w:rPr>
        <w:t xml:space="preserve">absence totale de données </w:t>
      </w:r>
      <w:r w:rsidRPr="00A86354" w:rsidR="00A60089">
        <w:rPr>
          <w:rFonts w:cs="Arial"/>
          <w:lang w:val="fr-FR"/>
        </w:rPr>
        <w:t>dans certains domaines, l</w:t>
      </w:r>
      <w:r w:rsidRPr="00A86354" w:rsidR="00301A0E">
        <w:rPr>
          <w:rFonts w:cs="Arial"/>
          <w:lang w:val="fr-FR"/>
        </w:rPr>
        <w:t>es femmes handicapées</w:t>
      </w:r>
      <w:r w:rsidRPr="00A86354" w:rsidR="00A60089">
        <w:rPr>
          <w:rFonts w:cs="Arial"/>
          <w:lang w:val="fr-FR"/>
        </w:rPr>
        <w:t>,</w:t>
      </w:r>
      <w:r w:rsidRPr="00A86354" w:rsidR="00301A0E">
        <w:rPr>
          <w:rFonts w:cs="Arial"/>
          <w:lang w:val="fr-FR"/>
        </w:rPr>
        <w:t xml:space="preserve"> </w:t>
      </w:r>
      <w:r w:rsidRPr="00A86354" w:rsidR="00A60089">
        <w:rPr>
          <w:rFonts w:cs="Arial"/>
          <w:lang w:val="fr-FR"/>
        </w:rPr>
        <w:t xml:space="preserve">par exemple, sont </w:t>
      </w:r>
      <w:r w:rsidRPr="00A86354" w:rsidR="00301A0E">
        <w:rPr>
          <w:rFonts w:cs="Arial"/>
          <w:lang w:val="fr-FR"/>
        </w:rPr>
        <w:t>peu présent</w:t>
      </w:r>
      <w:r w:rsidRPr="00A86354" w:rsidR="00A60089">
        <w:rPr>
          <w:rFonts w:cs="Arial"/>
          <w:lang w:val="fr-FR"/>
        </w:rPr>
        <w:t>e</w:t>
      </w:r>
      <w:r w:rsidRPr="00A86354" w:rsidR="00301A0E">
        <w:rPr>
          <w:rFonts w:cs="Arial"/>
          <w:lang w:val="fr-FR"/>
        </w:rPr>
        <w:t>s dans les études, les politiques publiques et les plans en faveur de l</w:t>
      </w:r>
      <w:r w:rsidRPr="00A86354" w:rsidR="0006032C">
        <w:rPr>
          <w:rFonts w:cs="Arial"/>
          <w:lang w:val="fr-FR"/>
        </w:rPr>
        <w:t>’</w:t>
      </w:r>
      <w:r w:rsidRPr="00A86354" w:rsidR="00301A0E">
        <w:rPr>
          <w:rFonts w:cs="Arial"/>
          <w:lang w:val="fr-FR"/>
        </w:rPr>
        <w:t>égalité femmes-hommes et sont invisibles dans de nombreuses sphères de la société.</w:t>
      </w:r>
    </w:p>
    <w:p w:rsidRPr="00B7440C" w:rsidR="00215F49" w:rsidP="00215F49" w:rsidRDefault="00215F49" w14:paraId="61F76004" w14:textId="47ACF654">
      <w:pPr>
        <w:ind w:left="360" w:hanging="360"/>
        <w:rPr>
          <w:rFonts w:ascii="Arial" w:hAnsi="Arial" w:cs="Arial"/>
          <w:lang w:val="fr-FR"/>
        </w:rPr>
      </w:pPr>
    </w:p>
    <w:p w:rsidRPr="00A86354" w:rsidR="00215F49" w:rsidP="00215F49" w:rsidRDefault="00301A0E" w14:paraId="5172CB5B" w14:textId="6965A569">
      <w:pPr>
        <w:ind w:left="360" w:hanging="360"/>
        <w:rPr>
          <w:rFonts w:ascii="Arial" w:hAnsi="Arial" w:cs="Arial"/>
          <w:i/>
          <w:iCs/>
          <w:lang w:val="fr-FR"/>
        </w:rPr>
      </w:pPr>
      <w:r w:rsidRPr="00A86354">
        <w:rPr>
          <w:rFonts w:ascii="Arial" w:hAnsi="Arial" w:cs="Arial"/>
          <w:i/>
          <w:iCs/>
          <w:lang w:val="fr-FR"/>
        </w:rPr>
        <w:t>Accessibilité des locaux et installations</w:t>
      </w:r>
    </w:p>
    <w:p w:rsidRPr="00A86354" w:rsidR="00215F49" w:rsidP="00B7440C" w:rsidRDefault="00215F49" w14:paraId="1B5533DA" w14:textId="77777777">
      <w:pPr>
        <w:pStyle w:val="ListParagraph"/>
        <w:rPr>
          <w:rFonts w:cs="Arial"/>
          <w:lang w:val="fr-FR"/>
        </w:rPr>
      </w:pPr>
    </w:p>
    <w:p w:rsidRPr="00A86354" w:rsidR="000679E4" w:rsidP="00CE016A" w:rsidRDefault="0040523D" w14:paraId="2028F1FC" w14:textId="1B7A9CF7">
      <w:pPr>
        <w:pStyle w:val="ListParagraph"/>
        <w:numPr>
          <w:ilvl w:val="0"/>
          <w:numId w:val="1"/>
        </w:numPr>
        <w:ind w:left="0" w:firstLine="0"/>
        <w:rPr>
          <w:rFonts w:cs="Arial"/>
          <w:lang w:val="fr-FR"/>
        </w:rPr>
      </w:pPr>
      <w:r w:rsidRPr="00A86354">
        <w:rPr>
          <w:rFonts w:cs="Arial"/>
          <w:lang w:val="fr-FR"/>
        </w:rPr>
        <w:t xml:space="preserve">La Défenseure des droits </w:t>
      </w:r>
      <w:r w:rsidRPr="00A86354" w:rsidR="00301A0E">
        <w:rPr>
          <w:rFonts w:cs="Arial"/>
          <w:lang w:val="fr-FR"/>
        </w:rPr>
        <w:t>déplore le retard important pris par la France en matière d</w:t>
      </w:r>
      <w:r w:rsidRPr="00A86354" w:rsidR="0006032C">
        <w:rPr>
          <w:rFonts w:cs="Arial"/>
          <w:lang w:val="fr-FR"/>
        </w:rPr>
        <w:t>’</w:t>
      </w:r>
      <w:r w:rsidRPr="00A86354" w:rsidR="00301A0E">
        <w:rPr>
          <w:rFonts w:cs="Arial"/>
          <w:lang w:val="fr-FR"/>
        </w:rPr>
        <w:t>accessibilité et les réticences persistantes des pouvoirs publics à appréhender l</w:t>
      </w:r>
      <w:r w:rsidRPr="00A86354" w:rsidR="0006032C">
        <w:rPr>
          <w:rFonts w:cs="Arial"/>
          <w:lang w:val="fr-FR"/>
        </w:rPr>
        <w:t>’</w:t>
      </w:r>
      <w:r w:rsidRPr="00A86354" w:rsidR="00301A0E">
        <w:rPr>
          <w:rFonts w:cs="Arial"/>
          <w:lang w:val="fr-FR"/>
        </w:rPr>
        <w:t>accessibilité comme une condition préalable essentielle à la jouissance effective des droits fondamentaux par les personnes handicapées</w:t>
      </w:r>
      <w:r w:rsidRPr="00A86354" w:rsidR="006278A3">
        <w:rPr>
          <w:rFonts w:cs="Arial"/>
          <w:lang w:val="fr-FR"/>
        </w:rPr>
        <w:t>.</w:t>
      </w:r>
    </w:p>
    <w:p w:rsidRPr="00A86354" w:rsidR="006278A3" w:rsidP="00CE016A" w:rsidRDefault="0040523D" w14:paraId="4CAAF9A5" w14:textId="3242C5FD">
      <w:pPr>
        <w:pStyle w:val="ListParagraph"/>
        <w:numPr>
          <w:ilvl w:val="0"/>
          <w:numId w:val="1"/>
        </w:numPr>
        <w:ind w:left="0" w:firstLine="0"/>
        <w:rPr>
          <w:rFonts w:cs="Arial"/>
          <w:lang w:val="fr-FR"/>
        </w:rPr>
      </w:pPr>
      <w:r w:rsidRPr="00A86354">
        <w:rPr>
          <w:rFonts w:cs="Arial"/>
          <w:lang w:val="fr-FR"/>
        </w:rPr>
        <w:lastRenderedPageBreak/>
        <w:t xml:space="preserve">La Défenseure des droits </w:t>
      </w:r>
      <w:r w:rsidRPr="00A86354" w:rsidR="00583179">
        <w:rPr>
          <w:rFonts w:cs="Arial"/>
          <w:lang w:val="fr-FR"/>
        </w:rPr>
        <w:t>critique tout d</w:t>
      </w:r>
      <w:r w:rsidRPr="00A86354" w:rsidR="0006032C">
        <w:rPr>
          <w:rFonts w:cs="Arial"/>
          <w:lang w:val="fr-FR"/>
        </w:rPr>
        <w:t>’</w:t>
      </w:r>
      <w:r w:rsidRPr="00A86354" w:rsidR="00583179">
        <w:rPr>
          <w:rFonts w:cs="Arial"/>
          <w:lang w:val="fr-FR"/>
        </w:rPr>
        <w:t>abord la décision, prise en 2015, de reporter d</w:t>
      </w:r>
      <w:r w:rsidRPr="00A86354" w:rsidR="0006032C">
        <w:rPr>
          <w:rFonts w:cs="Arial"/>
          <w:lang w:val="fr-FR"/>
        </w:rPr>
        <w:t>’</w:t>
      </w:r>
      <w:r w:rsidRPr="00A86354" w:rsidR="00583179">
        <w:rPr>
          <w:rFonts w:cs="Arial"/>
          <w:lang w:val="fr-FR"/>
        </w:rPr>
        <w:t>une durée pouvant aller jusqu</w:t>
      </w:r>
      <w:r w:rsidRPr="00A86354" w:rsidR="0006032C">
        <w:rPr>
          <w:rFonts w:cs="Arial"/>
          <w:lang w:val="fr-FR"/>
        </w:rPr>
        <w:t>’</w:t>
      </w:r>
      <w:r w:rsidRPr="00A86354" w:rsidR="00583179">
        <w:rPr>
          <w:rFonts w:cs="Arial"/>
          <w:lang w:val="fr-FR"/>
        </w:rPr>
        <w:t>à neuf ans le délai relatif à l</w:t>
      </w:r>
      <w:r w:rsidRPr="00A86354" w:rsidR="0006032C">
        <w:rPr>
          <w:rFonts w:cs="Arial"/>
          <w:lang w:val="fr-FR"/>
        </w:rPr>
        <w:t>’</w:t>
      </w:r>
      <w:r w:rsidRPr="00A86354" w:rsidR="00583179">
        <w:rPr>
          <w:rFonts w:cs="Arial"/>
          <w:lang w:val="fr-FR"/>
        </w:rPr>
        <w:t>obligation prescrite aux acteurs publics et privés par la loi de 2005 de rendre les locaux et installations accessibles à tous (voir les</w:t>
      </w:r>
      <w:r w:rsidRPr="00A86354" w:rsidR="006278A3">
        <w:rPr>
          <w:rFonts w:cs="Arial"/>
          <w:lang w:val="fr-FR"/>
        </w:rPr>
        <w:t xml:space="preserve"> observations </w:t>
      </w:r>
      <w:r w:rsidRPr="00A86354" w:rsidR="00583179">
        <w:rPr>
          <w:rFonts w:cs="Arial"/>
          <w:lang w:val="fr-FR"/>
        </w:rPr>
        <w:t>de la</w:t>
      </w:r>
      <w:r w:rsidRPr="00A86354" w:rsidR="006278A3">
        <w:rPr>
          <w:rFonts w:cs="Arial"/>
          <w:lang w:val="fr-FR"/>
        </w:rPr>
        <w:t xml:space="preserve"> CNCDH). </w:t>
      </w:r>
      <w:r w:rsidRPr="00A86354" w:rsidR="00583179">
        <w:rPr>
          <w:rFonts w:cs="Arial"/>
          <w:lang w:val="fr-FR"/>
        </w:rPr>
        <w:t>Deuxièmement</w:t>
      </w:r>
      <w:r w:rsidRPr="00A86354" w:rsidR="006278A3">
        <w:rPr>
          <w:rFonts w:cs="Arial"/>
          <w:lang w:val="fr-FR"/>
        </w:rPr>
        <w:t xml:space="preserve">, </w:t>
      </w:r>
      <w:r w:rsidRPr="00A86354" w:rsidR="00583179">
        <w:rPr>
          <w:rFonts w:cs="Arial"/>
          <w:lang w:val="fr-FR"/>
        </w:rPr>
        <w:t>selon</w:t>
      </w:r>
      <w:r w:rsidRPr="00A86354" w:rsidR="006278A3">
        <w:rPr>
          <w:rFonts w:cs="Arial"/>
          <w:lang w:val="fr-FR"/>
        </w:rPr>
        <w:t xml:space="preserve"> </w:t>
      </w:r>
      <w:r w:rsidRPr="00A86354">
        <w:rPr>
          <w:rFonts w:cs="Arial"/>
          <w:lang w:val="fr-FR"/>
        </w:rPr>
        <w:t>la Défenseure des droits</w:t>
      </w:r>
      <w:r w:rsidRPr="00A86354" w:rsidR="006278A3">
        <w:rPr>
          <w:rFonts w:cs="Arial"/>
          <w:lang w:val="fr-FR"/>
        </w:rPr>
        <w:t>,</w:t>
      </w:r>
      <w:r w:rsidRPr="00A86354" w:rsidR="00583179">
        <w:rPr>
          <w:lang w:val="fr-FR"/>
        </w:rPr>
        <w:t xml:space="preserve"> </w:t>
      </w:r>
      <w:r w:rsidRPr="00A86354" w:rsidR="00583179">
        <w:rPr>
          <w:rFonts w:cs="Arial"/>
          <w:lang w:val="fr-FR"/>
        </w:rPr>
        <w:t>80</w:t>
      </w:r>
      <w:r w:rsidRPr="00A86354" w:rsidR="00A0640D">
        <w:rPr>
          <w:rFonts w:cs="Arial"/>
          <w:lang w:val="fr-FR"/>
        </w:rPr>
        <w:t> </w:t>
      </w:r>
      <w:r w:rsidRPr="00A86354" w:rsidR="00583179">
        <w:rPr>
          <w:rFonts w:cs="Arial"/>
          <w:lang w:val="fr-FR"/>
        </w:rPr>
        <w:t xml:space="preserve">% des </w:t>
      </w:r>
      <w:r w:rsidRPr="00A86354" w:rsidR="00A0640D">
        <w:rPr>
          <w:rFonts w:cs="Arial"/>
          <w:lang w:val="fr-FR"/>
        </w:rPr>
        <w:t>ERP</w:t>
      </w:r>
      <w:r w:rsidRPr="00A86354" w:rsidR="00583179">
        <w:rPr>
          <w:rFonts w:cs="Arial"/>
          <w:lang w:val="fr-FR"/>
        </w:rPr>
        <w:t xml:space="preserve"> de 5</w:t>
      </w:r>
      <w:r w:rsidRPr="00A86354" w:rsidR="00583179">
        <w:rPr>
          <w:rFonts w:cs="Arial"/>
          <w:vertAlign w:val="superscript"/>
          <w:lang w:val="fr-FR"/>
        </w:rPr>
        <w:t>e</w:t>
      </w:r>
      <w:r w:rsidRPr="00A86354" w:rsidR="00583179">
        <w:rPr>
          <w:rFonts w:cs="Arial"/>
          <w:lang w:val="fr-FR"/>
        </w:rPr>
        <w:t xml:space="preserve"> catégorie (</w:t>
      </w:r>
      <w:r w:rsidRPr="00A86354" w:rsidR="00A0640D">
        <w:rPr>
          <w:rFonts w:cs="Arial"/>
          <w:lang w:val="fr-FR"/>
        </w:rPr>
        <w:t>les petites entreprises telles que les commerçants locaux, les artisans, les membres des professions libérales</w:t>
      </w:r>
      <w:r w:rsidRPr="00A86354" w:rsidR="00583179">
        <w:rPr>
          <w:rFonts w:cs="Arial"/>
          <w:lang w:val="fr-FR"/>
        </w:rPr>
        <w:t xml:space="preserve">) </w:t>
      </w:r>
      <w:r w:rsidRPr="00A86354" w:rsidR="00A0640D">
        <w:rPr>
          <w:rFonts w:cs="Arial"/>
          <w:lang w:val="fr-FR"/>
        </w:rPr>
        <w:t>auraient dû</w:t>
      </w:r>
      <w:r w:rsidRPr="00A86354" w:rsidR="00583179">
        <w:rPr>
          <w:rFonts w:cs="Arial"/>
          <w:lang w:val="fr-FR"/>
        </w:rPr>
        <w:t xml:space="preserve"> être rendus accessibles au plus tard en 2018. </w:t>
      </w:r>
      <w:r w:rsidRPr="00A86354" w:rsidR="00A0640D">
        <w:rPr>
          <w:rFonts w:cs="Arial"/>
          <w:lang w:val="fr-FR"/>
        </w:rPr>
        <w:t>Toutefois, l</w:t>
      </w:r>
      <w:r w:rsidRPr="00A86354" w:rsidR="0006032C">
        <w:rPr>
          <w:rFonts w:cs="Arial"/>
          <w:lang w:val="fr-FR"/>
        </w:rPr>
        <w:t>’</w:t>
      </w:r>
      <w:r w:rsidRPr="00A86354" w:rsidR="00A0640D">
        <w:rPr>
          <w:rFonts w:cs="Arial"/>
          <w:lang w:val="fr-FR"/>
        </w:rPr>
        <w:t>absence de recensement initial des ERP de 5</w:t>
      </w:r>
      <w:r w:rsidRPr="00A86354" w:rsidR="00A0640D">
        <w:rPr>
          <w:rFonts w:cs="Arial"/>
          <w:vertAlign w:val="superscript"/>
          <w:lang w:val="fr-FR"/>
        </w:rPr>
        <w:t>e</w:t>
      </w:r>
      <w:r w:rsidRPr="00A86354" w:rsidR="000402FA">
        <w:rPr>
          <w:rFonts w:cs="Arial"/>
          <w:lang w:val="fr-FR"/>
        </w:rPr>
        <w:t> </w:t>
      </w:r>
      <w:r w:rsidRPr="00A86354" w:rsidR="00A0640D">
        <w:rPr>
          <w:rFonts w:cs="Arial"/>
          <w:lang w:val="fr-FR"/>
        </w:rPr>
        <w:t>catégorie soumis à l</w:t>
      </w:r>
      <w:r w:rsidRPr="00A86354" w:rsidR="0006032C">
        <w:rPr>
          <w:rFonts w:cs="Arial"/>
          <w:lang w:val="fr-FR"/>
        </w:rPr>
        <w:t>’</w:t>
      </w:r>
      <w:r w:rsidRPr="00A86354" w:rsidR="00A0640D">
        <w:rPr>
          <w:rFonts w:cs="Arial"/>
          <w:lang w:val="fr-FR"/>
        </w:rPr>
        <w:t>obligation d</w:t>
      </w:r>
      <w:r w:rsidRPr="00A86354" w:rsidR="0006032C">
        <w:rPr>
          <w:rFonts w:cs="Arial"/>
          <w:lang w:val="fr-FR"/>
        </w:rPr>
        <w:t>’</w:t>
      </w:r>
      <w:r w:rsidRPr="00A86354" w:rsidR="00A0640D">
        <w:rPr>
          <w:rFonts w:cs="Arial"/>
          <w:lang w:val="fr-FR"/>
        </w:rPr>
        <w:t>accessibilité rend impossible l</w:t>
      </w:r>
      <w:r w:rsidRPr="00A86354" w:rsidR="0006032C">
        <w:rPr>
          <w:rFonts w:cs="Arial"/>
          <w:lang w:val="fr-FR"/>
        </w:rPr>
        <w:t>’</w:t>
      </w:r>
      <w:r w:rsidRPr="00A86354" w:rsidR="00A0640D">
        <w:rPr>
          <w:rFonts w:cs="Arial"/>
          <w:lang w:val="fr-FR"/>
        </w:rPr>
        <w:t>effectivité des contrôles et, a fortiori, des sanctions applicables en cas de non-respect de ces obligations.</w:t>
      </w:r>
      <w:r w:rsidRPr="00A86354" w:rsidR="006278A3">
        <w:rPr>
          <w:rFonts w:cs="Arial"/>
          <w:lang w:val="fr-FR"/>
        </w:rPr>
        <w:t xml:space="preserve"> </w:t>
      </w:r>
      <w:r w:rsidRPr="00A86354">
        <w:rPr>
          <w:rFonts w:cs="Arial"/>
          <w:lang w:val="fr-FR"/>
        </w:rPr>
        <w:t>La Défenseure des droits</w:t>
      </w:r>
      <w:r w:rsidRPr="00A86354" w:rsidR="00A0640D">
        <w:rPr>
          <w:rFonts w:cs="Arial"/>
          <w:lang w:val="fr-FR"/>
        </w:rPr>
        <w:t xml:space="preserve"> souligne que</w:t>
      </w:r>
      <w:r w:rsidRPr="00A86354" w:rsidR="006278A3">
        <w:rPr>
          <w:rFonts w:cs="Arial"/>
          <w:lang w:val="fr-FR"/>
        </w:rPr>
        <w:t xml:space="preserve"> </w:t>
      </w:r>
      <w:r w:rsidRPr="00A86354" w:rsidR="00A0640D">
        <w:rPr>
          <w:rFonts w:cs="Arial"/>
          <w:lang w:val="fr-FR"/>
        </w:rPr>
        <w:t xml:space="preserve">plusieurs textes nécessaires à la mise en œuvre effective de la loi </w:t>
      </w:r>
      <w:r w:rsidRPr="00A86354" w:rsidR="004C7F1E">
        <w:rPr>
          <w:rFonts w:cs="Arial"/>
          <w:lang w:val="fr-FR"/>
        </w:rPr>
        <w:t>de</w:t>
      </w:r>
      <w:r w:rsidRPr="00A86354" w:rsidR="00A0640D">
        <w:rPr>
          <w:rFonts w:cs="Arial"/>
          <w:lang w:val="fr-FR"/>
        </w:rPr>
        <w:t xml:space="preserve"> 2005 n</w:t>
      </w:r>
      <w:r w:rsidRPr="00A86354" w:rsidR="0006032C">
        <w:rPr>
          <w:rFonts w:cs="Arial"/>
          <w:lang w:val="fr-FR"/>
        </w:rPr>
        <w:t>’</w:t>
      </w:r>
      <w:r w:rsidRPr="00A86354" w:rsidR="00A0640D">
        <w:rPr>
          <w:rFonts w:cs="Arial"/>
          <w:lang w:val="fr-FR"/>
        </w:rPr>
        <w:t>ont été pris que très tardivement (ex</w:t>
      </w:r>
      <w:r w:rsidRPr="00A86354" w:rsidR="000807D5">
        <w:rPr>
          <w:rFonts w:cs="Arial"/>
          <w:lang w:val="fr-FR"/>
        </w:rPr>
        <w:t> :</w:t>
      </w:r>
      <w:r w:rsidRPr="00A86354" w:rsidR="00A0640D">
        <w:rPr>
          <w:rFonts w:cs="Arial"/>
          <w:lang w:val="fr-FR"/>
        </w:rPr>
        <w:t xml:space="preserve"> en 2016, pour l</w:t>
      </w:r>
      <w:r w:rsidRPr="00A86354" w:rsidR="0006032C">
        <w:rPr>
          <w:rFonts w:cs="Arial"/>
          <w:lang w:val="fr-FR"/>
        </w:rPr>
        <w:t>’</w:t>
      </w:r>
      <w:r w:rsidRPr="00A86354" w:rsidR="00A0640D">
        <w:rPr>
          <w:rFonts w:cs="Arial"/>
          <w:lang w:val="fr-FR"/>
        </w:rPr>
        <w:t>accessibilité des établissements pénitentiaires existants), voire, ne sont toujours pas publiés (ex</w:t>
      </w:r>
      <w:r w:rsidRPr="00A86354" w:rsidR="000807D5">
        <w:rPr>
          <w:rFonts w:cs="Arial"/>
          <w:lang w:val="fr-FR"/>
        </w:rPr>
        <w:t> :</w:t>
      </w:r>
      <w:r w:rsidRPr="00A86354" w:rsidR="00A0640D">
        <w:rPr>
          <w:rFonts w:cs="Arial"/>
          <w:lang w:val="fr-FR"/>
        </w:rPr>
        <w:t xml:space="preserve"> textes applicables aux centres de rétention administrative et locaux de garde à vue).</w:t>
      </w:r>
      <w:r w:rsidRPr="00A86354" w:rsidR="00963972">
        <w:rPr>
          <w:rFonts w:cs="Arial"/>
          <w:lang w:val="fr-FR"/>
        </w:rPr>
        <w:t xml:space="preserve"> </w:t>
      </w:r>
    </w:p>
    <w:p w:rsidRPr="00A86354" w:rsidR="009640DB" w:rsidP="009640DB" w:rsidRDefault="009640DB" w14:paraId="5F6C4EF4" w14:textId="77777777">
      <w:pPr>
        <w:pStyle w:val="ListParagraph"/>
        <w:ind w:left="360"/>
        <w:rPr>
          <w:rFonts w:cs="Arial"/>
          <w:lang w:val="fr-FR"/>
        </w:rPr>
      </w:pPr>
    </w:p>
    <w:p w:rsidRPr="00A86354" w:rsidR="00B4268A" w:rsidP="00CE016A" w:rsidRDefault="00637114" w14:paraId="7D6A9FC1" w14:textId="3B203261">
      <w:pPr>
        <w:pStyle w:val="ListParagraph"/>
        <w:numPr>
          <w:ilvl w:val="0"/>
          <w:numId w:val="1"/>
        </w:numPr>
        <w:ind w:left="0" w:firstLine="0"/>
        <w:rPr>
          <w:rFonts w:cs="Arial"/>
          <w:lang w:val="fr-FR"/>
        </w:rPr>
      </w:pPr>
      <w:r w:rsidRPr="00A86354">
        <w:rPr>
          <w:rFonts w:cs="Arial"/>
          <w:lang w:val="fr-FR"/>
        </w:rPr>
        <w:t>Concernant l</w:t>
      </w:r>
      <w:r w:rsidRPr="00A86354" w:rsidR="0006032C">
        <w:rPr>
          <w:rFonts w:cs="Arial"/>
          <w:lang w:val="fr-FR"/>
        </w:rPr>
        <w:t>’</w:t>
      </w:r>
      <w:r w:rsidRPr="00A86354" w:rsidR="009640DB">
        <w:rPr>
          <w:rFonts w:cs="Arial"/>
          <w:lang w:val="fr-FR"/>
        </w:rPr>
        <w:t>accessibilit</w:t>
      </w:r>
      <w:r w:rsidRPr="00A86354">
        <w:rPr>
          <w:rFonts w:cs="Arial"/>
          <w:lang w:val="fr-FR"/>
        </w:rPr>
        <w:t>é des logements</w:t>
      </w:r>
      <w:r w:rsidRPr="00A86354" w:rsidR="009640DB">
        <w:rPr>
          <w:rFonts w:cs="Arial"/>
          <w:lang w:val="fr-FR"/>
        </w:rPr>
        <w:t>,</w:t>
      </w:r>
      <w:r w:rsidRPr="00A86354" w:rsidR="00B4268A">
        <w:rPr>
          <w:rFonts w:cs="Arial"/>
          <w:lang w:val="fr-FR"/>
        </w:rPr>
        <w:t xml:space="preserve"> </w:t>
      </w:r>
      <w:r w:rsidRPr="00A86354">
        <w:rPr>
          <w:rFonts w:cs="Arial"/>
          <w:lang w:val="fr-FR"/>
        </w:rPr>
        <w:t>l</w:t>
      </w:r>
      <w:r w:rsidRPr="00A86354" w:rsidR="0040523D">
        <w:rPr>
          <w:rFonts w:cs="Arial"/>
          <w:lang w:val="fr-FR"/>
        </w:rPr>
        <w:t>a Défenseure des droits</w:t>
      </w:r>
      <w:r w:rsidRPr="00A86354">
        <w:rPr>
          <w:rFonts w:cs="Arial"/>
          <w:lang w:val="fr-FR"/>
        </w:rPr>
        <w:t xml:space="preserve"> souligne que la loi</w:t>
      </w:r>
      <w:r w:rsidRPr="00A86354" w:rsidR="00B4268A">
        <w:rPr>
          <w:rFonts w:cs="Arial"/>
          <w:lang w:val="fr-FR"/>
        </w:rPr>
        <w:t xml:space="preserve"> ELAN </w:t>
      </w:r>
      <w:r w:rsidRPr="00A86354">
        <w:rPr>
          <w:rFonts w:cs="Arial"/>
          <w:lang w:val="fr-FR"/>
        </w:rPr>
        <w:t>du</w:t>
      </w:r>
      <w:r w:rsidRPr="00A86354" w:rsidR="00B4268A">
        <w:rPr>
          <w:rFonts w:cs="Arial"/>
          <w:lang w:val="fr-FR"/>
        </w:rPr>
        <w:t xml:space="preserve"> 23 </w:t>
      </w:r>
      <w:r w:rsidRPr="00A86354">
        <w:rPr>
          <w:rFonts w:cs="Arial"/>
          <w:lang w:val="fr-FR"/>
        </w:rPr>
        <w:t>novembre</w:t>
      </w:r>
      <w:r w:rsidRPr="00A86354" w:rsidR="00B4268A">
        <w:rPr>
          <w:rFonts w:cs="Arial"/>
          <w:lang w:val="fr-FR"/>
        </w:rPr>
        <w:t xml:space="preserve"> 2018 </w:t>
      </w:r>
      <w:r w:rsidRPr="00A86354">
        <w:rPr>
          <w:rFonts w:cs="Arial"/>
          <w:lang w:val="fr-FR"/>
        </w:rPr>
        <w:t xml:space="preserve">est venue réduire certaines normes de construction, remettant notamment en cause la règle du </w:t>
      </w:r>
      <w:r w:rsidRPr="00A86354" w:rsidR="000807D5">
        <w:rPr>
          <w:rFonts w:cs="Arial"/>
          <w:lang w:val="fr-FR"/>
        </w:rPr>
        <w:t>« </w:t>
      </w:r>
      <w:r w:rsidRPr="00A86354">
        <w:rPr>
          <w:rFonts w:cs="Arial"/>
          <w:lang w:val="fr-FR"/>
        </w:rPr>
        <w:t>tout accessible</w:t>
      </w:r>
      <w:r w:rsidRPr="00A86354" w:rsidR="000807D5">
        <w:rPr>
          <w:rFonts w:cs="Arial"/>
          <w:lang w:val="fr-FR"/>
        </w:rPr>
        <w:t> »</w:t>
      </w:r>
      <w:r w:rsidRPr="00A86354">
        <w:rPr>
          <w:rFonts w:cs="Arial"/>
          <w:lang w:val="fr-FR"/>
        </w:rPr>
        <w:t>, prévue par la loi de 2005, applicable aux logements neufs. Désormais, la loi institue un quota de 20 % seulement de logements accessibles dès la conception, les autres logements, soit 80 %, devant simplement répondre à une condition d</w:t>
      </w:r>
      <w:r w:rsidRPr="00A86354" w:rsidR="0006032C">
        <w:rPr>
          <w:rFonts w:cs="Arial"/>
          <w:lang w:val="fr-FR"/>
        </w:rPr>
        <w:t>’</w:t>
      </w:r>
      <w:r w:rsidRPr="00A86354">
        <w:rPr>
          <w:rFonts w:cs="Arial"/>
          <w:lang w:val="fr-FR"/>
        </w:rPr>
        <w:t>évolutivité. Quant à l</w:t>
      </w:r>
      <w:r w:rsidRPr="00A86354" w:rsidR="0006032C">
        <w:rPr>
          <w:rFonts w:cs="Arial"/>
          <w:lang w:val="fr-FR"/>
        </w:rPr>
        <w:t>’</w:t>
      </w:r>
      <w:r w:rsidRPr="00A86354">
        <w:rPr>
          <w:rFonts w:cs="Arial"/>
          <w:lang w:val="fr-FR"/>
        </w:rPr>
        <w:t>offre de logement social, déjà insuffisante pour l</w:t>
      </w:r>
      <w:r w:rsidRPr="00A86354" w:rsidR="0006032C">
        <w:rPr>
          <w:rFonts w:cs="Arial"/>
          <w:lang w:val="fr-FR"/>
        </w:rPr>
        <w:t>’</w:t>
      </w:r>
      <w:r w:rsidRPr="00A86354">
        <w:rPr>
          <w:rFonts w:cs="Arial"/>
          <w:lang w:val="fr-FR"/>
        </w:rPr>
        <w:t>ensemble de la population, elle l</w:t>
      </w:r>
      <w:r w:rsidRPr="00A86354" w:rsidR="0006032C">
        <w:rPr>
          <w:rFonts w:cs="Arial"/>
          <w:lang w:val="fr-FR"/>
        </w:rPr>
        <w:t>’</w:t>
      </w:r>
      <w:r w:rsidRPr="00A86354">
        <w:rPr>
          <w:rFonts w:cs="Arial"/>
          <w:lang w:val="fr-FR"/>
        </w:rPr>
        <w:t>est encore davantage pour les personnes handicapées qui, bien que reconnues prioritaires, subissent des délais d</w:t>
      </w:r>
      <w:r w:rsidRPr="00A86354" w:rsidR="0006032C">
        <w:rPr>
          <w:rFonts w:cs="Arial"/>
          <w:lang w:val="fr-FR"/>
        </w:rPr>
        <w:t>’</w:t>
      </w:r>
      <w:r w:rsidRPr="00A86354">
        <w:rPr>
          <w:rFonts w:cs="Arial"/>
          <w:lang w:val="fr-FR"/>
        </w:rPr>
        <w:t>attribution plus longs du fait de l</w:t>
      </w:r>
      <w:r w:rsidRPr="00A86354" w:rsidR="0006032C">
        <w:rPr>
          <w:rFonts w:cs="Arial"/>
          <w:lang w:val="fr-FR"/>
        </w:rPr>
        <w:t>’</w:t>
      </w:r>
      <w:r w:rsidRPr="00A86354">
        <w:rPr>
          <w:rFonts w:cs="Arial"/>
          <w:lang w:val="fr-FR"/>
        </w:rPr>
        <w:t>insuffisance de l</w:t>
      </w:r>
      <w:r w:rsidRPr="00A86354" w:rsidR="0006032C">
        <w:rPr>
          <w:rFonts w:cs="Arial"/>
          <w:lang w:val="fr-FR"/>
        </w:rPr>
        <w:t>’</w:t>
      </w:r>
      <w:r w:rsidRPr="00A86354">
        <w:rPr>
          <w:rFonts w:cs="Arial"/>
          <w:lang w:val="fr-FR"/>
        </w:rPr>
        <w:t>offre de logements accessibles. La Défenseure des droits indique qu</w:t>
      </w:r>
      <w:r w:rsidRPr="00A86354" w:rsidR="0006032C">
        <w:rPr>
          <w:rFonts w:cs="Arial"/>
          <w:lang w:val="fr-FR"/>
        </w:rPr>
        <w:t>’</w:t>
      </w:r>
      <w:r w:rsidRPr="00A86354">
        <w:rPr>
          <w:rFonts w:cs="Arial"/>
          <w:lang w:val="fr-FR"/>
        </w:rPr>
        <w:t>en matière de logement, le handicap constitue ainsi le deuxième motif de discrimination (juste après l</w:t>
      </w:r>
      <w:r w:rsidRPr="00A86354" w:rsidR="0006032C">
        <w:rPr>
          <w:rFonts w:cs="Arial"/>
          <w:lang w:val="fr-FR"/>
        </w:rPr>
        <w:t>’</w:t>
      </w:r>
      <w:r w:rsidRPr="00A86354">
        <w:rPr>
          <w:rFonts w:cs="Arial"/>
          <w:lang w:val="fr-FR"/>
        </w:rPr>
        <w:t>origine) de l</w:t>
      </w:r>
      <w:r w:rsidRPr="00A86354" w:rsidR="0006032C">
        <w:rPr>
          <w:rFonts w:cs="Arial"/>
          <w:lang w:val="fr-FR"/>
        </w:rPr>
        <w:t>’</w:t>
      </w:r>
      <w:r w:rsidRPr="00A86354">
        <w:rPr>
          <w:rFonts w:cs="Arial"/>
          <w:lang w:val="fr-FR"/>
        </w:rPr>
        <w:t>ensemble des réclamations adressées au Défenseur des droits.</w:t>
      </w:r>
      <w:r w:rsidRPr="00A86354" w:rsidR="00650059">
        <w:rPr>
          <w:rFonts w:cs="Arial"/>
          <w:lang w:val="fr-FR"/>
        </w:rPr>
        <w:t xml:space="preserve"> </w:t>
      </w:r>
    </w:p>
    <w:p w:rsidRPr="00A86354" w:rsidR="00B4268A" w:rsidP="00B4268A" w:rsidRDefault="00B4268A" w14:paraId="518CB4E2" w14:textId="77777777">
      <w:pPr>
        <w:rPr>
          <w:rFonts w:ascii="Arial" w:hAnsi="Arial" w:cs="Arial"/>
          <w:lang w:val="fr-FR"/>
        </w:rPr>
      </w:pPr>
    </w:p>
    <w:p w:rsidRPr="00A86354" w:rsidR="006A7C62" w:rsidP="006A7C62" w:rsidRDefault="00D17F9F" w14:paraId="5353C8DE" w14:textId="446BBA37">
      <w:pPr>
        <w:ind w:left="360" w:hanging="360"/>
        <w:rPr>
          <w:rFonts w:ascii="Arial" w:hAnsi="Arial" w:cs="Arial"/>
          <w:lang w:val="fr-FR"/>
        </w:rPr>
      </w:pPr>
      <w:r w:rsidRPr="00A86354">
        <w:rPr>
          <w:rFonts w:ascii="Arial" w:hAnsi="Arial" w:cs="Arial"/>
          <w:i/>
          <w:iCs/>
          <w:lang w:val="fr-FR"/>
        </w:rPr>
        <w:t>Accessibilité des transports urbains et interurbains</w:t>
      </w:r>
    </w:p>
    <w:p w:rsidRPr="00A86354" w:rsidR="006A7C62" w:rsidP="00A86354" w:rsidRDefault="006A7C62" w14:paraId="56E08BBF" w14:textId="77777777">
      <w:pPr>
        <w:pStyle w:val="ListParagraph"/>
        <w:rPr>
          <w:rFonts w:cs="Arial"/>
          <w:lang w:val="fr-FR"/>
        </w:rPr>
      </w:pPr>
    </w:p>
    <w:p w:rsidRPr="00A86354" w:rsidR="006A7C62" w:rsidP="00CE016A" w:rsidRDefault="003F373A" w14:paraId="58748E56" w14:textId="086FF946">
      <w:pPr>
        <w:pStyle w:val="ListParagraph"/>
        <w:numPr>
          <w:ilvl w:val="0"/>
          <w:numId w:val="1"/>
        </w:numPr>
        <w:ind w:left="0" w:firstLine="0"/>
        <w:rPr>
          <w:rFonts w:cs="Arial"/>
          <w:lang w:val="fr-FR"/>
        </w:rPr>
      </w:pPr>
      <w:r w:rsidRPr="00A86354">
        <w:rPr>
          <w:rFonts w:cs="Arial"/>
          <w:lang w:val="fr-FR"/>
        </w:rPr>
        <w:t xml:space="preserve">Alors que la loi de 2005 avait prévu que la chaîne de déplacement devait être organisée pour permettre son accessibilité </w:t>
      </w:r>
      <w:r w:rsidRPr="00A86354" w:rsidR="000807D5">
        <w:rPr>
          <w:rFonts w:cs="Arial"/>
          <w:lang w:val="fr-FR"/>
        </w:rPr>
        <w:t>« </w:t>
      </w:r>
      <w:r w:rsidRPr="00A86354">
        <w:rPr>
          <w:rFonts w:cs="Arial"/>
          <w:lang w:val="fr-FR"/>
        </w:rPr>
        <w:t>dans sa totalité</w:t>
      </w:r>
      <w:r w:rsidRPr="00A86354" w:rsidR="000807D5">
        <w:rPr>
          <w:rFonts w:cs="Arial"/>
          <w:lang w:val="fr-FR"/>
        </w:rPr>
        <w:t> »</w:t>
      </w:r>
      <w:r w:rsidRPr="00A86354">
        <w:rPr>
          <w:rFonts w:cs="Arial"/>
          <w:lang w:val="fr-FR"/>
        </w:rPr>
        <w:t xml:space="preserve"> aux personnes handicapées ou à mobilité réduite, cette obligation a été remise en cause en 2015 (loi n° 2015-988 du 5 août 2015). Désormais, l</w:t>
      </w:r>
      <w:r w:rsidRPr="00A86354" w:rsidR="0006032C">
        <w:rPr>
          <w:rFonts w:cs="Arial"/>
          <w:lang w:val="fr-FR"/>
        </w:rPr>
        <w:t>’</w:t>
      </w:r>
      <w:r w:rsidRPr="00A86354">
        <w:rPr>
          <w:rFonts w:cs="Arial"/>
          <w:lang w:val="fr-FR"/>
        </w:rPr>
        <w:t>obligation d</w:t>
      </w:r>
      <w:r w:rsidRPr="00A86354" w:rsidR="0006032C">
        <w:rPr>
          <w:rFonts w:cs="Arial"/>
          <w:lang w:val="fr-FR"/>
        </w:rPr>
        <w:t>’</w:t>
      </w:r>
      <w:r w:rsidRPr="00A86354">
        <w:rPr>
          <w:rFonts w:cs="Arial"/>
          <w:lang w:val="fr-FR"/>
        </w:rPr>
        <w:t>accessibilité des services de transport est remplie par l</w:t>
      </w:r>
      <w:r w:rsidRPr="00A86354" w:rsidR="0006032C">
        <w:rPr>
          <w:rFonts w:cs="Arial"/>
          <w:lang w:val="fr-FR"/>
        </w:rPr>
        <w:t>’</w:t>
      </w:r>
      <w:r w:rsidRPr="00A86354">
        <w:rPr>
          <w:rFonts w:cs="Arial"/>
          <w:lang w:val="fr-FR"/>
        </w:rPr>
        <w:t>aménagement de quelques points d</w:t>
      </w:r>
      <w:r w:rsidRPr="00A86354" w:rsidR="0006032C">
        <w:rPr>
          <w:rFonts w:cs="Arial"/>
          <w:lang w:val="fr-FR"/>
        </w:rPr>
        <w:t>’</w:t>
      </w:r>
      <w:r w:rsidRPr="00A86354">
        <w:rPr>
          <w:rFonts w:cs="Arial"/>
          <w:lang w:val="fr-FR"/>
        </w:rPr>
        <w:t xml:space="preserve">arrêt considérés comme </w:t>
      </w:r>
      <w:r w:rsidRPr="00A86354" w:rsidR="000807D5">
        <w:rPr>
          <w:rFonts w:cs="Arial"/>
          <w:lang w:val="fr-FR"/>
        </w:rPr>
        <w:t>« </w:t>
      </w:r>
      <w:r w:rsidRPr="00A86354">
        <w:rPr>
          <w:rFonts w:cs="Arial"/>
          <w:lang w:val="fr-FR"/>
        </w:rPr>
        <w:t>prioritaires</w:t>
      </w:r>
      <w:r w:rsidRPr="00A86354" w:rsidR="000807D5">
        <w:rPr>
          <w:rFonts w:cs="Arial"/>
          <w:lang w:val="fr-FR"/>
        </w:rPr>
        <w:t> »</w:t>
      </w:r>
      <w:r w:rsidRPr="00A86354">
        <w:rPr>
          <w:rFonts w:cs="Arial"/>
          <w:lang w:val="fr-FR"/>
        </w:rPr>
        <w:t>, les autres n</w:t>
      </w:r>
      <w:r w:rsidRPr="00A86354" w:rsidR="0006032C">
        <w:rPr>
          <w:rFonts w:cs="Arial"/>
          <w:lang w:val="fr-FR"/>
        </w:rPr>
        <w:t>’</w:t>
      </w:r>
      <w:r w:rsidRPr="00A86354">
        <w:rPr>
          <w:rFonts w:cs="Arial"/>
          <w:lang w:val="fr-FR"/>
        </w:rPr>
        <w:t>étant pas tenus d</w:t>
      </w:r>
      <w:r w:rsidRPr="00A86354" w:rsidR="0006032C">
        <w:rPr>
          <w:rFonts w:cs="Arial"/>
          <w:lang w:val="fr-FR"/>
        </w:rPr>
        <w:t>’</w:t>
      </w:r>
      <w:r w:rsidRPr="00A86354">
        <w:rPr>
          <w:rFonts w:cs="Arial"/>
          <w:lang w:val="fr-FR"/>
        </w:rPr>
        <w:t>être rendus accessibles.</w:t>
      </w:r>
    </w:p>
    <w:p w:rsidRPr="00A86354" w:rsidR="009C09E5" w:rsidP="009C09E5" w:rsidRDefault="009C09E5" w14:paraId="6FAB2730" w14:textId="77777777">
      <w:pPr>
        <w:pStyle w:val="ListParagraph"/>
        <w:rPr>
          <w:rFonts w:cs="Arial"/>
          <w:lang w:val="fr-FR"/>
        </w:rPr>
      </w:pPr>
    </w:p>
    <w:p w:rsidRPr="00A86354" w:rsidR="009C09E5" w:rsidP="00CE016A" w:rsidRDefault="003F373A" w14:paraId="4C4B880D" w14:textId="040C724E">
      <w:pPr>
        <w:pStyle w:val="ListParagraph"/>
        <w:numPr>
          <w:ilvl w:val="0"/>
          <w:numId w:val="1"/>
        </w:numPr>
        <w:ind w:left="0" w:firstLine="0"/>
        <w:rPr>
          <w:rFonts w:cs="Arial"/>
          <w:lang w:val="fr-FR"/>
        </w:rPr>
      </w:pPr>
      <w:r w:rsidRPr="00A86354">
        <w:rPr>
          <w:rFonts w:cs="Arial"/>
          <w:lang w:val="fr-FR"/>
        </w:rPr>
        <w:t>La loi ne prévoit pas d</w:t>
      </w:r>
      <w:r w:rsidRPr="00A86354" w:rsidR="0006032C">
        <w:rPr>
          <w:rFonts w:cs="Arial"/>
          <w:lang w:val="fr-FR"/>
        </w:rPr>
        <w:t>’</w:t>
      </w:r>
      <w:r w:rsidRPr="00A86354">
        <w:rPr>
          <w:rFonts w:cs="Arial"/>
          <w:lang w:val="fr-FR"/>
        </w:rPr>
        <w:t>obligation générale de mise en accessibilité de la voirie aux personnes handicapées et les prescriptions en matière d</w:t>
      </w:r>
      <w:r w:rsidRPr="00A86354" w:rsidR="0006032C">
        <w:rPr>
          <w:rFonts w:cs="Arial"/>
          <w:lang w:val="fr-FR"/>
        </w:rPr>
        <w:t>’</w:t>
      </w:r>
      <w:r w:rsidRPr="00A86354">
        <w:rPr>
          <w:rFonts w:cs="Arial"/>
          <w:lang w:val="fr-FR"/>
        </w:rPr>
        <w:t>accessibilité ne s</w:t>
      </w:r>
      <w:r w:rsidRPr="00A86354" w:rsidR="0006032C">
        <w:rPr>
          <w:rFonts w:cs="Arial"/>
          <w:lang w:val="fr-FR"/>
        </w:rPr>
        <w:t>’</w:t>
      </w:r>
      <w:r w:rsidRPr="00A86354">
        <w:rPr>
          <w:rFonts w:cs="Arial"/>
          <w:lang w:val="fr-FR"/>
        </w:rPr>
        <w:t>appliquent que dans le cas de réalisation de voies nouvelles. Par ailleurs, la Défenseure des droits indique que seules les communes de plus de 1 000 habitants sont tenues d</w:t>
      </w:r>
      <w:r w:rsidRPr="00A86354" w:rsidR="0006032C">
        <w:rPr>
          <w:rFonts w:cs="Arial"/>
          <w:lang w:val="fr-FR"/>
        </w:rPr>
        <w:t>’</w:t>
      </w:r>
      <w:r w:rsidRPr="00A86354">
        <w:rPr>
          <w:rFonts w:cs="Arial"/>
          <w:lang w:val="fr-FR"/>
        </w:rPr>
        <w:t>élaborer un plan de mise en accessibilité de la voirie et des aménagements des espaces publics. Or, selon l</w:t>
      </w:r>
      <w:r w:rsidRPr="00A86354" w:rsidR="0006032C">
        <w:rPr>
          <w:rFonts w:cs="Arial"/>
          <w:lang w:val="fr-FR"/>
        </w:rPr>
        <w:t>’</w:t>
      </w:r>
      <w:r w:rsidRPr="00A86354">
        <w:rPr>
          <w:rFonts w:cs="Arial"/>
          <w:lang w:val="fr-FR"/>
        </w:rPr>
        <w:t>Institut national de la statistique et des études économiques, sur les 36 529 communes de France métropolitaine, plus d</w:t>
      </w:r>
      <w:r w:rsidRPr="00A86354" w:rsidR="0006032C">
        <w:rPr>
          <w:rFonts w:cs="Arial"/>
          <w:lang w:val="fr-FR"/>
        </w:rPr>
        <w:t>’</w:t>
      </w:r>
      <w:r w:rsidRPr="00A86354">
        <w:rPr>
          <w:rFonts w:cs="Arial"/>
          <w:lang w:val="fr-FR"/>
        </w:rPr>
        <w:t>une sur deux (54 %) compte moins de 500 habitants.</w:t>
      </w:r>
    </w:p>
    <w:p w:rsidRPr="00A86354" w:rsidR="00B4268A" w:rsidP="00B4268A" w:rsidRDefault="00B4268A" w14:paraId="2FA0FFAC" w14:textId="4177A0D3">
      <w:pPr>
        <w:ind w:left="360" w:hanging="360"/>
        <w:rPr>
          <w:rFonts w:ascii="Arial" w:hAnsi="Arial" w:cs="Arial"/>
          <w:lang w:val="fr-FR"/>
        </w:rPr>
      </w:pPr>
    </w:p>
    <w:p w:rsidRPr="00A86354" w:rsidR="00B4268A" w:rsidP="00B4268A" w:rsidRDefault="00B4268A" w14:paraId="256193EC" w14:textId="7F6FA1CC">
      <w:pPr>
        <w:ind w:left="360" w:hanging="360"/>
        <w:rPr>
          <w:rFonts w:ascii="Arial" w:hAnsi="Arial" w:cs="Arial"/>
          <w:i/>
          <w:iCs/>
          <w:lang w:val="fr-FR"/>
        </w:rPr>
      </w:pPr>
      <w:r w:rsidRPr="00A86354">
        <w:rPr>
          <w:rFonts w:ascii="Arial" w:hAnsi="Arial" w:cs="Arial"/>
          <w:i/>
          <w:iCs/>
          <w:lang w:val="fr-FR"/>
        </w:rPr>
        <w:t>Acc</w:t>
      </w:r>
      <w:r w:rsidRPr="00A86354" w:rsidR="00D17F9F">
        <w:rPr>
          <w:rFonts w:ascii="Arial" w:hAnsi="Arial" w:cs="Arial"/>
          <w:i/>
          <w:iCs/>
          <w:lang w:val="fr-FR"/>
        </w:rPr>
        <w:t>ès à l</w:t>
      </w:r>
      <w:r w:rsidRPr="00A86354" w:rsidR="0006032C">
        <w:rPr>
          <w:rFonts w:ascii="Arial" w:hAnsi="Arial" w:cs="Arial"/>
          <w:i/>
          <w:iCs/>
          <w:lang w:val="fr-FR"/>
        </w:rPr>
        <w:t>’</w:t>
      </w:r>
      <w:r w:rsidRPr="00A86354">
        <w:rPr>
          <w:rFonts w:ascii="Arial" w:hAnsi="Arial" w:cs="Arial"/>
          <w:i/>
          <w:iCs/>
          <w:lang w:val="fr-FR"/>
        </w:rPr>
        <w:t xml:space="preserve">information </w:t>
      </w:r>
    </w:p>
    <w:p w:rsidRPr="00A86354" w:rsidR="00B4268A" w:rsidP="00A86354" w:rsidRDefault="00B4268A" w14:paraId="33FA5671" w14:textId="77777777">
      <w:pPr>
        <w:pStyle w:val="ListParagraph"/>
        <w:rPr>
          <w:rFonts w:cs="Arial"/>
          <w:lang w:val="fr-FR"/>
        </w:rPr>
      </w:pPr>
    </w:p>
    <w:p w:rsidRPr="00A86354" w:rsidR="00B4268A" w:rsidP="00CE016A" w:rsidRDefault="0040523D" w14:paraId="1FC4C811" w14:textId="0AFA76BD">
      <w:pPr>
        <w:pStyle w:val="ListParagraph"/>
        <w:numPr>
          <w:ilvl w:val="0"/>
          <w:numId w:val="1"/>
        </w:numPr>
        <w:ind w:left="0" w:firstLine="0"/>
        <w:rPr>
          <w:rFonts w:cs="Arial"/>
          <w:lang w:val="fr-FR"/>
        </w:rPr>
      </w:pPr>
      <w:r w:rsidRPr="00A86354">
        <w:rPr>
          <w:rFonts w:cs="Arial"/>
          <w:lang w:val="fr-FR"/>
        </w:rPr>
        <w:t>La Défenseure des droits</w:t>
      </w:r>
      <w:r w:rsidRPr="00A86354" w:rsidR="003F373A">
        <w:rPr>
          <w:rFonts w:cs="Arial"/>
          <w:lang w:val="fr-FR"/>
        </w:rPr>
        <w:t xml:space="preserve"> </w:t>
      </w:r>
      <w:r w:rsidRPr="00A86354" w:rsidR="00B4268A">
        <w:rPr>
          <w:rFonts w:cs="Arial"/>
          <w:lang w:val="fr-FR"/>
        </w:rPr>
        <w:t>consid</w:t>
      </w:r>
      <w:r w:rsidRPr="00A86354" w:rsidR="003F373A">
        <w:rPr>
          <w:rFonts w:cs="Arial"/>
          <w:lang w:val="fr-FR"/>
        </w:rPr>
        <w:t>ère que</w:t>
      </w:r>
      <w:r w:rsidRPr="00A86354" w:rsidR="00B4268A">
        <w:rPr>
          <w:rFonts w:cs="Arial"/>
          <w:lang w:val="fr-FR"/>
        </w:rPr>
        <w:t xml:space="preserve"> </w:t>
      </w:r>
      <w:r w:rsidRPr="00A86354" w:rsidR="003F373A">
        <w:rPr>
          <w:rFonts w:cs="Arial"/>
          <w:lang w:val="fr-FR"/>
        </w:rPr>
        <w:t>la dématérialisation des services publics peut favoriser l</w:t>
      </w:r>
      <w:r w:rsidRPr="00A86354" w:rsidR="0006032C">
        <w:rPr>
          <w:rFonts w:cs="Arial"/>
          <w:lang w:val="fr-FR"/>
        </w:rPr>
        <w:t>’</w:t>
      </w:r>
      <w:r w:rsidRPr="00A86354" w:rsidR="003F373A">
        <w:rPr>
          <w:rFonts w:cs="Arial"/>
          <w:lang w:val="fr-FR"/>
        </w:rPr>
        <w:t xml:space="preserve">accès des personnes handicapées à leurs droits, mais, dans </w:t>
      </w:r>
      <w:r w:rsidRPr="00A86354" w:rsidR="003F373A">
        <w:rPr>
          <w:rFonts w:cs="Arial"/>
          <w:lang w:val="fr-FR"/>
        </w:rPr>
        <w:lastRenderedPageBreak/>
        <w:t xml:space="preserve">le contexte de la dématérialisation </w:t>
      </w:r>
      <w:r w:rsidRPr="00A86354" w:rsidR="000807D5">
        <w:rPr>
          <w:rFonts w:cs="Arial"/>
          <w:lang w:val="fr-FR"/>
        </w:rPr>
        <w:t>« </w:t>
      </w:r>
      <w:r w:rsidRPr="00A86354" w:rsidR="003F373A">
        <w:rPr>
          <w:rFonts w:cs="Arial"/>
          <w:lang w:val="fr-FR"/>
        </w:rPr>
        <w:t>à marche forcée</w:t>
      </w:r>
      <w:r w:rsidRPr="00A86354" w:rsidR="000807D5">
        <w:rPr>
          <w:rFonts w:cs="Arial"/>
          <w:lang w:val="fr-FR"/>
        </w:rPr>
        <w:t> »</w:t>
      </w:r>
      <w:r w:rsidRPr="00A86354" w:rsidR="003F373A">
        <w:rPr>
          <w:rFonts w:cs="Arial"/>
          <w:lang w:val="fr-FR"/>
        </w:rPr>
        <w:t xml:space="preserve"> des démarches administratives engagée en France (le </w:t>
      </w:r>
      <w:r w:rsidRPr="00A86354" w:rsidR="00AE34AC">
        <w:rPr>
          <w:rFonts w:cs="Arial"/>
          <w:lang w:val="fr-FR"/>
        </w:rPr>
        <w:t>Gouvernement</w:t>
      </w:r>
      <w:r w:rsidRPr="00A86354" w:rsidR="003F373A">
        <w:rPr>
          <w:rFonts w:cs="Arial"/>
          <w:lang w:val="fr-FR"/>
        </w:rPr>
        <w:t xml:space="preserve"> a fixé un objectif de 100 % de dématérialisation des services publics d</w:t>
      </w:r>
      <w:r w:rsidRPr="00A86354" w:rsidR="0006032C">
        <w:rPr>
          <w:rFonts w:cs="Arial"/>
          <w:lang w:val="fr-FR"/>
        </w:rPr>
        <w:t>’</w:t>
      </w:r>
      <w:r w:rsidRPr="00A86354" w:rsidR="003F373A">
        <w:rPr>
          <w:rFonts w:cs="Arial"/>
          <w:lang w:val="fr-FR"/>
        </w:rPr>
        <w:t>ici 2022), elle peut également constituer un obstacle majeur à l</w:t>
      </w:r>
      <w:r w:rsidRPr="00A86354" w:rsidR="0006032C">
        <w:rPr>
          <w:rFonts w:cs="Arial"/>
          <w:lang w:val="fr-FR"/>
        </w:rPr>
        <w:t>’</w:t>
      </w:r>
      <w:r w:rsidRPr="00A86354" w:rsidR="003F373A">
        <w:rPr>
          <w:rFonts w:cs="Arial"/>
          <w:lang w:val="fr-FR"/>
        </w:rPr>
        <w:t>accès aux droits dès lors que l</w:t>
      </w:r>
      <w:r w:rsidRPr="00A86354" w:rsidR="0006032C">
        <w:rPr>
          <w:rFonts w:cs="Arial"/>
          <w:lang w:val="fr-FR"/>
        </w:rPr>
        <w:t>’</w:t>
      </w:r>
      <w:r w:rsidRPr="00A86354" w:rsidR="003F373A">
        <w:rPr>
          <w:rFonts w:cs="Arial"/>
          <w:lang w:val="fr-FR"/>
        </w:rPr>
        <w:t>accessibilité des systèmes d</w:t>
      </w:r>
      <w:r w:rsidRPr="00A86354" w:rsidR="0006032C">
        <w:rPr>
          <w:rFonts w:cs="Arial"/>
          <w:lang w:val="fr-FR"/>
        </w:rPr>
        <w:t>’</w:t>
      </w:r>
      <w:r w:rsidRPr="00A86354" w:rsidR="003F373A">
        <w:rPr>
          <w:rFonts w:cs="Arial"/>
          <w:lang w:val="fr-FR"/>
        </w:rPr>
        <w:t>information et de communication n</w:t>
      </w:r>
      <w:r w:rsidRPr="00A86354" w:rsidR="0006032C">
        <w:rPr>
          <w:rFonts w:cs="Arial"/>
          <w:lang w:val="fr-FR"/>
        </w:rPr>
        <w:t>’</w:t>
      </w:r>
      <w:r w:rsidRPr="00A86354" w:rsidR="003F373A">
        <w:rPr>
          <w:rFonts w:cs="Arial"/>
          <w:lang w:val="fr-FR"/>
        </w:rPr>
        <w:t xml:space="preserve">est pas pleinement assurée. Renvoyant à son rapport </w:t>
      </w:r>
      <w:r w:rsidRPr="00A86354" w:rsidR="000807D5">
        <w:rPr>
          <w:rFonts w:cs="Arial"/>
          <w:lang w:val="fr-FR"/>
        </w:rPr>
        <w:t>« </w:t>
      </w:r>
      <w:r w:rsidRPr="00A86354" w:rsidR="003F373A">
        <w:rPr>
          <w:rFonts w:cs="Arial"/>
          <w:lang w:val="fr-FR"/>
        </w:rPr>
        <w:t>Dématérialisation et inégalités d</w:t>
      </w:r>
      <w:r w:rsidRPr="00A86354" w:rsidR="0006032C">
        <w:rPr>
          <w:rFonts w:cs="Arial"/>
          <w:lang w:val="fr-FR"/>
        </w:rPr>
        <w:t>’</w:t>
      </w:r>
      <w:r w:rsidRPr="00A86354" w:rsidR="003F373A">
        <w:rPr>
          <w:rFonts w:cs="Arial"/>
          <w:lang w:val="fr-FR"/>
        </w:rPr>
        <w:t>accès aux services publics</w:t>
      </w:r>
      <w:r w:rsidRPr="00A86354" w:rsidR="000807D5">
        <w:rPr>
          <w:rFonts w:cs="Arial"/>
          <w:lang w:val="fr-FR"/>
        </w:rPr>
        <w:t> »</w:t>
      </w:r>
      <w:r w:rsidRPr="00A86354" w:rsidR="003F373A">
        <w:rPr>
          <w:rFonts w:cs="Arial"/>
          <w:lang w:val="fr-FR"/>
        </w:rPr>
        <w:t>, publié en 2019,</w:t>
      </w:r>
      <w:r w:rsidRPr="00A86354" w:rsidR="003F373A">
        <w:rPr>
          <w:rFonts w:ascii="Times New Roman" w:hAnsi="Times New Roman" w:cs="Arial"/>
          <w:lang w:val="fr-FR"/>
        </w:rPr>
        <w:t xml:space="preserve"> </w:t>
      </w:r>
      <w:r w:rsidRPr="00A86354" w:rsidR="003F373A">
        <w:rPr>
          <w:rFonts w:cs="Arial"/>
          <w:lang w:val="fr-FR"/>
        </w:rPr>
        <w:t>la Défenseure des droits observe à cet égard que les obligations en matière d</w:t>
      </w:r>
      <w:r w:rsidRPr="00A86354" w:rsidR="0006032C">
        <w:rPr>
          <w:rFonts w:cs="Arial"/>
          <w:lang w:val="fr-FR"/>
        </w:rPr>
        <w:t>’</w:t>
      </w:r>
      <w:r w:rsidRPr="00A86354" w:rsidR="003F373A">
        <w:rPr>
          <w:rFonts w:cs="Arial"/>
          <w:lang w:val="fr-FR"/>
        </w:rPr>
        <w:t xml:space="preserve">accessibilité prévues par la loi ne sont pas efficacement mises en œuvre, </w:t>
      </w:r>
      <w:r w:rsidRPr="00A86354" w:rsidR="0092336D">
        <w:rPr>
          <w:rFonts w:cs="Arial"/>
          <w:lang w:val="fr-FR"/>
        </w:rPr>
        <w:t xml:space="preserve">de même </w:t>
      </w:r>
      <w:r w:rsidRPr="00A86354" w:rsidR="003F373A">
        <w:rPr>
          <w:rFonts w:cs="Arial"/>
          <w:lang w:val="fr-FR"/>
        </w:rPr>
        <w:t>que les sanctions</w:t>
      </w:r>
      <w:r w:rsidRPr="00A86354" w:rsidR="0092336D">
        <w:rPr>
          <w:rFonts w:cs="Arial"/>
          <w:lang w:val="fr-FR"/>
        </w:rPr>
        <w:t xml:space="preserve"> en cas de non-respect de ces obligations</w:t>
      </w:r>
      <w:r w:rsidRPr="00A86354" w:rsidR="003F373A">
        <w:rPr>
          <w:rFonts w:cs="Arial"/>
          <w:lang w:val="fr-FR"/>
        </w:rPr>
        <w:t xml:space="preserve">, et </w:t>
      </w:r>
      <w:r w:rsidRPr="00A86354" w:rsidR="0092336D">
        <w:rPr>
          <w:rFonts w:cs="Arial"/>
          <w:lang w:val="fr-FR"/>
        </w:rPr>
        <w:t xml:space="preserve">que le dispositif </w:t>
      </w:r>
      <w:r w:rsidRPr="00A86354" w:rsidR="003F373A">
        <w:rPr>
          <w:rFonts w:cs="Arial"/>
          <w:lang w:val="fr-FR"/>
        </w:rPr>
        <w:t>ne permet pas d</w:t>
      </w:r>
      <w:r w:rsidRPr="00A86354" w:rsidR="0006032C">
        <w:rPr>
          <w:rFonts w:cs="Arial"/>
          <w:lang w:val="fr-FR"/>
        </w:rPr>
        <w:t>’</w:t>
      </w:r>
      <w:r w:rsidRPr="00A86354" w:rsidR="003F373A">
        <w:rPr>
          <w:rFonts w:cs="Arial"/>
          <w:lang w:val="fr-FR"/>
        </w:rPr>
        <w:t>assurer à ce jour aux personnes handicapées un accès effectif aux sites internet des services publics</w:t>
      </w:r>
      <w:r w:rsidRPr="00A86354" w:rsidR="00B4268A">
        <w:rPr>
          <w:rFonts w:cs="Arial"/>
          <w:lang w:val="fr-FR"/>
        </w:rPr>
        <w:t xml:space="preserve">.    </w:t>
      </w:r>
    </w:p>
    <w:p w:rsidRPr="00A86354" w:rsidR="00B4268A" w:rsidP="00B4268A" w:rsidRDefault="00B4268A" w14:paraId="5CED1453" w14:textId="49E47D35">
      <w:pPr>
        <w:pStyle w:val="ListParagraph"/>
        <w:rPr>
          <w:rFonts w:cs="Arial"/>
          <w:lang w:val="fr-FR"/>
        </w:rPr>
      </w:pPr>
    </w:p>
    <w:p w:rsidRPr="00A86354" w:rsidR="00B4268A" w:rsidP="00CE016A" w:rsidRDefault="0040523D" w14:paraId="65EA90EA" w14:textId="5DA42D0C">
      <w:pPr>
        <w:pStyle w:val="ListParagraph"/>
        <w:numPr>
          <w:ilvl w:val="0"/>
          <w:numId w:val="1"/>
        </w:numPr>
        <w:ind w:left="0" w:firstLine="0"/>
        <w:rPr>
          <w:rFonts w:cs="Arial"/>
          <w:lang w:val="fr-FR"/>
        </w:rPr>
      </w:pPr>
      <w:r w:rsidRPr="00A86354">
        <w:rPr>
          <w:rFonts w:cs="Arial"/>
          <w:lang w:val="fr-FR"/>
        </w:rPr>
        <w:t>La Défenseure des droits</w:t>
      </w:r>
      <w:r w:rsidRPr="00A86354" w:rsidR="0092336D">
        <w:rPr>
          <w:rFonts w:cs="Arial"/>
          <w:lang w:val="fr-FR"/>
        </w:rPr>
        <w:t xml:space="preserve"> indique que</w:t>
      </w:r>
      <w:r w:rsidRPr="00A86354" w:rsidR="00B4268A">
        <w:rPr>
          <w:rFonts w:cs="Arial"/>
          <w:lang w:val="fr-FR"/>
        </w:rPr>
        <w:t xml:space="preserve"> </w:t>
      </w:r>
      <w:r w:rsidRPr="00A86354" w:rsidR="0092336D">
        <w:rPr>
          <w:rFonts w:cs="Arial"/>
          <w:lang w:val="fr-FR"/>
        </w:rPr>
        <w:t>seules 13 % des 250 démarches administratives en ligne les plus utilisées par les Français pren</w:t>
      </w:r>
      <w:r w:rsidRPr="00A86354" w:rsidR="00E245AA">
        <w:rPr>
          <w:rFonts w:cs="Arial"/>
          <w:lang w:val="fr-FR"/>
        </w:rPr>
        <w:t>ne</w:t>
      </w:r>
      <w:r w:rsidRPr="00A86354" w:rsidR="0092336D">
        <w:rPr>
          <w:rFonts w:cs="Arial"/>
          <w:lang w:val="fr-FR"/>
        </w:rPr>
        <w:t>nt en compte l</w:t>
      </w:r>
      <w:r w:rsidRPr="00A86354" w:rsidR="0006032C">
        <w:rPr>
          <w:rFonts w:cs="Arial"/>
          <w:lang w:val="fr-FR"/>
        </w:rPr>
        <w:t>’</w:t>
      </w:r>
      <w:r w:rsidRPr="00A86354" w:rsidR="0092336D">
        <w:rPr>
          <w:rFonts w:cs="Arial"/>
          <w:lang w:val="fr-FR"/>
        </w:rPr>
        <w:t xml:space="preserve">accessibilité. Le </w:t>
      </w:r>
      <w:r w:rsidRPr="00A86354" w:rsidR="00AE34AC">
        <w:rPr>
          <w:rFonts w:cs="Arial"/>
          <w:lang w:val="fr-FR"/>
        </w:rPr>
        <w:t>Gouvernement</w:t>
      </w:r>
      <w:r w:rsidRPr="00A86354" w:rsidR="0092336D">
        <w:rPr>
          <w:rFonts w:cs="Arial"/>
          <w:lang w:val="fr-FR"/>
        </w:rPr>
        <w:t xml:space="preserve"> s</w:t>
      </w:r>
      <w:r w:rsidRPr="00A86354" w:rsidR="0006032C">
        <w:rPr>
          <w:rFonts w:cs="Arial"/>
          <w:lang w:val="fr-FR"/>
        </w:rPr>
        <w:t>’</w:t>
      </w:r>
      <w:r w:rsidRPr="00A86354" w:rsidR="0092336D">
        <w:rPr>
          <w:rFonts w:cs="Arial"/>
          <w:lang w:val="fr-FR"/>
        </w:rPr>
        <w:t xml:space="preserve">est engagé à mettre en conformité les 15 sites </w:t>
      </w:r>
      <w:r w:rsidRPr="00A86354" w:rsidR="00AE34AC">
        <w:rPr>
          <w:rFonts w:cs="Arial"/>
          <w:lang w:val="fr-FR"/>
        </w:rPr>
        <w:t>Gouvernement</w:t>
      </w:r>
      <w:r w:rsidRPr="00A86354" w:rsidR="0092336D">
        <w:rPr>
          <w:rFonts w:cs="Arial"/>
          <w:lang w:val="fr-FR"/>
        </w:rPr>
        <w:t>aux les plus fréquentés ainsi qu</w:t>
      </w:r>
      <w:r w:rsidRPr="00A86354" w:rsidR="0006032C">
        <w:rPr>
          <w:rFonts w:cs="Arial"/>
          <w:lang w:val="fr-FR"/>
        </w:rPr>
        <w:t>’</w:t>
      </w:r>
      <w:r w:rsidRPr="00A86354" w:rsidR="0092336D">
        <w:rPr>
          <w:rFonts w:cs="Arial"/>
          <w:lang w:val="fr-FR"/>
        </w:rPr>
        <w:t>au moins 80 % des 250 démarches administratives en lignes les plus utilisées, et ce d</w:t>
      </w:r>
      <w:r w:rsidRPr="00A86354" w:rsidR="0006032C">
        <w:rPr>
          <w:rFonts w:cs="Arial"/>
          <w:lang w:val="fr-FR"/>
        </w:rPr>
        <w:t>’</w:t>
      </w:r>
      <w:r w:rsidRPr="00A86354" w:rsidR="0092336D">
        <w:rPr>
          <w:rFonts w:cs="Arial"/>
          <w:lang w:val="fr-FR"/>
        </w:rPr>
        <w:t>ici 2022. La Défenseure des droits estime que, même si ces objectifs apparaissent louables, ils n</w:t>
      </w:r>
      <w:r w:rsidRPr="00A86354" w:rsidR="0006032C">
        <w:rPr>
          <w:rFonts w:cs="Arial"/>
          <w:lang w:val="fr-FR"/>
        </w:rPr>
        <w:t>’</w:t>
      </w:r>
      <w:r w:rsidRPr="00A86354" w:rsidR="0092336D">
        <w:rPr>
          <w:rFonts w:cs="Arial"/>
          <w:lang w:val="fr-FR"/>
        </w:rPr>
        <w:t>en sont pas moins insuffisants au regard de l</w:t>
      </w:r>
      <w:r w:rsidRPr="00A86354" w:rsidR="0006032C">
        <w:rPr>
          <w:rFonts w:cs="Arial"/>
          <w:lang w:val="fr-FR"/>
        </w:rPr>
        <w:t>’</w:t>
      </w:r>
      <w:r w:rsidRPr="00A86354" w:rsidR="0092336D">
        <w:rPr>
          <w:rFonts w:cs="Arial"/>
          <w:lang w:val="fr-FR"/>
        </w:rPr>
        <w:t>urgence à répondre aux difficultés auxquelles sont confrontées les personnes handicapées dans leurs démarches quotidiennes, comme l</w:t>
      </w:r>
      <w:r w:rsidRPr="00A86354" w:rsidR="0006032C">
        <w:rPr>
          <w:rFonts w:cs="Arial"/>
          <w:lang w:val="fr-FR"/>
        </w:rPr>
        <w:t>’</w:t>
      </w:r>
      <w:r w:rsidRPr="00A86354" w:rsidR="0092336D">
        <w:rPr>
          <w:rFonts w:cs="Arial"/>
          <w:lang w:val="fr-FR"/>
        </w:rPr>
        <w:t>a démontré la crise sanitaire</w:t>
      </w:r>
      <w:r w:rsidRPr="00A86354" w:rsidR="00B4268A">
        <w:rPr>
          <w:rFonts w:cs="Arial"/>
          <w:lang w:val="fr-FR"/>
        </w:rPr>
        <w:t xml:space="preserve">.   </w:t>
      </w:r>
    </w:p>
    <w:p w:rsidRPr="00A86354" w:rsidR="00B4268A" w:rsidP="00A86354" w:rsidRDefault="00B4268A" w14:paraId="332F3222" w14:textId="603CDE41">
      <w:pPr>
        <w:ind w:left="360" w:hanging="360"/>
        <w:rPr>
          <w:rFonts w:ascii="Arial" w:hAnsi="Arial" w:cs="Arial"/>
          <w:lang w:val="fr-FR"/>
        </w:rPr>
      </w:pPr>
    </w:p>
    <w:p w:rsidRPr="00A86354" w:rsidR="00F71E3F" w:rsidP="00F71E3F" w:rsidRDefault="00D17F9F" w14:paraId="0BEF8915" w14:textId="066C977A">
      <w:pPr>
        <w:pStyle w:val="ListParagraph"/>
        <w:ind w:left="360" w:hanging="360"/>
        <w:rPr>
          <w:rFonts w:cs="Arial"/>
          <w:i/>
          <w:iCs/>
          <w:lang w:val="fr-FR"/>
        </w:rPr>
      </w:pPr>
      <w:r w:rsidRPr="00A86354">
        <w:rPr>
          <w:rFonts w:cs="Arial"/>
          <w:i/>
          <w:iCs/>
          <w:lang w:val="fr-FR"/>
        </w:rPr>
        <w:t>Accès aux soins de santé</w:t>
      </w:r>
      <w:r w:rsidRPr="00A86354" w:rsidR="00F71E3F">
        <w:rPr>
          <w:rFonts w:cs="Arial"/>
          <w:i/>
          <w:iCs/>
          <w:lang w:val="fr-FR"/>
        </w:rPr>
        <w:t xml:space="preserve"> </w:t>
      </w:r>
    </w:p>
    <w:p w:rsidRPr="00A86354" w:rsidR="00F71E3F" w:rsidP="00F71E3F" w:rsidRDefault="00F71E3F" w14:paraId="7F6AA704" w14:textId="75F82B00">
      <w:pPr>
        <w:pStyle w:val="ListParagraph"/>
        <w:ind w:left="360" w:hanging="360"/>
        <w:rPr>
          <w:rFonts w:cs="Arial"/>
          <w:i/>
          <w:iCs/>
          <w:lang w:val="fr-FR"/>
        </w:rPr>
      </w:pPr>
    </w:p>
    <w:p w:rsidRPr="00A86354" w:rsidR="00AB3D13" w:rsidP="00CE016A" w:rsidRDefault="0040523D" w14:paraId="4C96861A" w14:textId="240BE895">
      <w:pPr>
        <w:pStyle w:val="ListParagraph"/>
        <w:numPr>
          <w:ilvl w:val="0"/>
          <w:numId w:val="1"/>
        </w:numPr>
        <w:ind w:left="0" w:firstLine="0"/>
        <w:rPr>
          <w:rFonts w:cs="Arial"/>
          <w:lang w:val="fr-FR"/>
        </w:rPr>
      </w:pPr>
      <w:r w:rsidRPr="00A86354">
        <w:rPr>
          <w:rFonts w:cs="Arial"/>
          <w:lang w:val="fr-FR"/>
        </w:rPr>
        <w:t>La Défenseure des droits</w:t>
      </w:r>
      <w:r w:rsidRPr="00A86354" w:rsidR="005D5C27">
        <w:rPr>
          <w:rFonts w:cs="Arial"/>
          <w:lang w:val="fr-FR"/>
        </w:rPr>
        <w:t xml:space="preserve"> </w:t>
      </w:r>
      <w:r w:rsidRPr="00A86354" w:rsidR="0092336D">
        <w:rPr>
          <w:rFonts w:cs="Arial"/>
          <w:lang w:val="fr-FR"/>
        </w:rPr>
        <w:t>fait valoir que</w:t>
      </w:r>
      <w:r w:rsidRPr="00A86354" w:rsidR="0092336D">
        <w:rPr>
          <w:lang w:val="fr-FR"/>
        </w:rPr>
        <w:t xml:space="preserve"> </w:t>
      </w:r>
      <w:r w:rsidRPr="00A86354" w:rsidR="0092336D">
        <w:rPr>
          <w:rFonts w:cs="Arial"/>
          <w:lang w:val="fr-FR"/>
        </w:rPr>
        <w:t>les personnes handicapées rencontrent de nombreuses difficultés pour accéder aux soins courants et que la situation a empiré depuis la réforme de 2015 sur l</w:t>
      </w:r>
      <w:r w:rsidRPr="00A86354" w:rsidR="0006032C">
        <w:rPr>
          <w:rFonts w:cs="Arial"/>
          <w:lang w:val="fr-FR"/>
        </w:rPr>
        <w:t>’</w:t>
      </w:r>
      <w:r w:rsidRPr="00A86354" w:rsidR="0092336D">
        <w:rPr>
          <w:rFonts w:cs="Arial"/>
          <w:lang w:val="fr-FR"/>
        </w:rPr>
        <w:t>accessibilité des établissements recevant du public. L</w:t>
      </w:r>
      <w:r w:rsidRPr="00A86354" w:rsidR="0006032C">
        <w:rPr>
          <w:rFonts w:cs="Arial"/>
          <w:lang w:val="fr-FR"/>
        </w:rPr>
        <w:t>’</w:t>
      </w:r>
      <w:r w:rsidRPr="00A86354" w:rsidR="0092336D">
        <w:rPr>
          <w:rFonts w:cs="Arial"/>
          <w:lang w:val="fr-FR"/>
        </w:rPr>
        <w:t>une des difficultés récurrentes est celle de l</w:t>
      </w:r>
      <w:r w:rsidRPr="00A86354" w:rsidR="0006032C">
        <w:rPr>
          <w:rFonts w:cs="Arial"/>
          <w:lang w:val="fr-FR"/>
        </w:rPr>
        <w:t>’</w:t>
      </w:r>
      <w:r w:rsidRPr="00A86354" w:rsidR="0092336D">
        <w:rPr>
          <w:rFonts w:cs="Arial"/>
          <w:lang w:val="fr-FR"/>
        </w:rPr>
        <w:t>inaccessibilité des lieux de soins aux personnes handicapées. La Défenseure des droits souligne à cet égard que la mise aux normes d</w:t>
      </w:r>
      <w:r w:rsidRPr="00A86354" w:rsidR="0006032C">
        <w:rPr>
          <w:rFonts w:cs="Arial"/>
          <w:lang w:val="fr-FR"/>
        </w:rPr>
        <w:t>’</w:t>
      </w:r>
      <w:r w:rsidRPr="00A86354" w:rsidR="0092336D">
        <w:rPr>
          <w:rFonts w:cs="Arial"/>
          <w:lang w:val="fr-FR"/>
        </w:rPr>
        <w:t>accessibilité n</w:t>
      </w:r>
      <w:r w:rsidRPr="00A86354" w:rsidR="0006032C">
        <w:rPr>
          <w:rFonts w:cs="Arial"/>
          <w:lang w:val="fr-FR"/>
        </w:rPr>
        <w:t>’</w:t>
      </w:r>
      <w:r w:rsidRPr="00A86354" w:rsidR="0092336D">
        <w:rPr>
          <w:rFonts w:cs="Arial"/>
          <w:lang w:val="fr-FR"/>
        </w:rPr>
        <w:t>est pas opposable aux ERP situés dans les copropriétés,</w:t>
      </w:r>
      <w:r w:rsidRPr="00A86354" w:rsidR="0092336D">
        <w:rPr>
          <w:lang w:val="fr-FR"/>
        </w:rPr>
        <w:t xml:space="preserve"> </w:t>
      </w:r>
      <w:r w:rsidRPr="00A86354" w:rsidR="0092336D">
        <w:rPr>
          <w:rFonts w:cs="Arial"/>
          <w:lang w:val="fr-FR"/>
        </w:rPr>
        <w:t>lorsque les copropriétaires refusent de réaliser les travaux nécessaires à la mise en accessibilité des bâtiments d</w:t>
      </w:r>
      <w:r w:rsidRPr="00A86354" w:rsidR="0006032C">
        <w:rPr>
          <w:rFonts w:cs="Arial"/>
          <w:lang w:val="fr-FR"/>
        </w:rPr>
        <w:t>’</w:t>
      </w:r>
      <w:r w:rsidRPr="00A86354" w:rsidR="0092336D">
        <w:rPr>
          <w:rFonts w:cs="Arial"/>
          <w:lang w:val="fr-FR"/>
        </w:rPr>
        <w:t xml:space="preserve">habitation. </w:t>
      </w:r>
      <w:r w:rsidRPr="00A86354" w:rsidR="00D80966">
        <w:rPr>
          <w:rFonts w:cs="Arial"/>
          <w:lang w:val="fr-FR"/>
        </w:rPr>
        <w:t>Or,</w:t>
      </w:r>
      <w:r w:rsidRPr="00A86354" w:rsidR="0092336D">
        <w:rPr>
          <w:rFonts w:cs="Arial"/>
          <w:lang w:val="fr-FR"/>
        </w:rPr>
        <w:t xml:space="preserve"> de nombreux cabinets médicaux sont implantés dans ces bâtiments. </w:t>
      </w:r>
      <w:r w:rsidRPr="00A86354" w:rsidR="00D80966">
        <w:rPr>
          <w:rFonts w:cs="Arial"/>
          <w:lang w:val="fr-FR"/>
        </w:rPr>
        <w:t>Elle indique qu</w:t>
      </w:r>
      <w:r w:rsidRPr="00A86354" w:rsidR="0006032C">
        <w:rPr>
          <w:rFonts w:cs="Arial"/>
          <w:lang w:val="fr-FR"/>
        </w:rPr>
        <w:t>’</w:t>
      </w:r>
      <w:r w:rsidRPr="00A86354" w:rsidR="00D80966">
        <w:rPr>
          <w:rFonts w:cs="Arial"/>
          <w:lang w:val="fr-FR"/>
        </w:rPr>
        <w:t>à</w:t>
      </w:r>
      <w:r w:rsidRPr="00A86354" w:rsidR="0092336D">
        <w:rPr>
          <w:rFonts w:cs="Arial"/>
          <w:lang w:val="fr-FR"/>
        </w:rPr>
        <w:t xml:space="preserve"> cela s</w:t>
      </w:r>
      <w:r w:rsidRPr="00A86354" w:rsidR="0006032C">
        <w:rPr>
          <w:rFonts w:cs="Arial"/>
          <w:lang w:val="fr-FR"/>
        </w:rPr>
        <w:t>’</w:t>
      </w:r>
      <w:r w:rsidRPr="00A86354" w:rsidR="0092336D">
        <w:rPr>
          <w:rFonts w:cs="Arial"/>
          <w:lang w:val="fr-FR"/>
        </w:rPr>
        <w:t>ajoutent les difficultés liées à l</w:t>
      </w:r>
      <w:r w:rsidRPr="00A86354" w:rsidR="0006032C">
        <w:rPr>
          <w:rFonts w:cs="Arial"/>
          <w:lang w:val="fr-FR"/>
        </w:rPr>
        <w:t>’</w:t>
      </w:r>
      <w:r w:rsidRPr="00A86354" w:rsidR="0092336D">
        <w:rPr>
          <w:rFonts w:cs="Arial"/>
          <w:lang w:val="fr-FR"/>
        </w:rPr>
        <w:t>absence de mise en place de moyens adaptés pour répondre aux besoins spécifiques des personnes handicapés</w:t>
      </w:r>
      <w:r w:rsidRPr="00A86354" w:rsidR="00D80966">
        <w:rPr>
          <w:rFonts w:cs="Arial"/>
          <w:lang w:val="fr-FR"/>
        </w:rPr>
        <w:t xml:space="preserve"> dans les locaux médicaux</w:t>
      </w:r>
      <w:r w:rsidRPr="00A86354" w:rsidR="0092336D">
        <w:rPr>
          <w:rFonts w:cs="Arial"/>
          <w:lang w:val="fr-FR"/>
        </w:rPr>
        <w:t xml:space="preserve"> (équipements adaptés, temps supplémentaire d</w:t>
      </w:r>
      <w:r w:rsidRPr="00A86354" w:rsidR="0006032C">
        <w:rPr>
          <w:rFonts w:cs="Arial"/>
          <w:lang w:val="fr-FR"/>
        </w:rPr>
        <w:t>’</w:t>
      </w:r>
      <w:r w:rsidRPr="00A86354" w:rsidR="0092336D">
        <w:rPr>
          <w:rFonts w:cs="Arial"/>
          <w:lang w:val="fr-FR"/>
        </w:rPr>
        <w:t>accueil et d</w:t>
      </w:r>
      <w:r w:rsidRPr="00A86354" w:rsidR="0006032C">
        <w:rPr>
          <w:rFonts w:cs="Arial"/>
          <w:lang w:val="fr-FR"/>
        </w:rPr>
        <w:t>’</w:t>
      </w:r>
      <w:r w:rsidRPr="00A86354" w:rsidR="0092336D">
        <w:rPr>
          <w:rFonts w:cs="Arial"/>
          <w:lang w:val="fr-FR"/>
        </w:rPr>
        <w:t>information, formation des professionnels</w:t>
      </w:r>
      <w:r w:rsidRPr="00A86354" w:rsidR="00D80966">
        <w:rPr>
          <w:rFonts w:cs="Arial"/>
          <w:lang w:val="fr-FR"/>
        </w:rPr>
        <w:t>, etc.</w:t>
      </w:r>
      <w:r w:rsidRPr="00A86354" w:rsidR="0092336D">
        <w:rPr>
          <w:rFonts w:cs="Arial"/>
          <w:lang w:val="fr-FR"/>
        </w:rPr>
        <w:t xml:space="preserve">). </w:t>
      </w:r>
      <w:r w:rsidRPr="00A86354" w:rsidR="00D80966">
        <w:rPr>
          <w:rFonts w:cs="Arial"/>
          <w:lang w:val="fr-FR"/>
        </w:rPr>
        <w:t>La Défenseure des droits note</w:t>
      </w:r>
      <w:r w:rsidRPr="00A86354" w:rsidR="0092336D">
        <w:rPr>
          <w:rFonts w:cs="Arial"/>
          <w:lang w:val="fr-FR"/>
        </w:rPr>
        <w:t xml:space="preserve">, comme positive même si tardive, la mesure annoncée au Comité interministériel du handicap de 2018 consistant à intégrer un module </w:t>
      </w:r>
      <w:r w:rsidRPr="00A86354" w:rsidR="000807D5">
        <w:rPr>
          <w:rFonts w:cs="Arial"/>
          <w:lang w:val="fr-FR"/>
        </w:rPr>
        <w:t>« </w:t>
      </w:r>
      <w:r w:rsidRPr="00A86354" w:rsidR="0092336D">
        <w:rPr>
          <w:rFonts w:cs="Arial"/>
          <w:lang w:val="fr-FR"/>
        </w:rPr>
        <w:t>Handicap</w:t>
      </w:r>
      <w:r w:rsidRPr="00A86354" w:rsidR="000807D5">
        <w:rPr>
          <w:rFonts w:cs="Arial"/>
          <w:lang w:val="fr-FR"/>
        </w:rPr>
        <w:t> »</w:t>
      </w:r>
      <w:r w:rsidRPr="00A86354" w:rsidR="0092336D">
        <w:rPr>
          <w:rFonts w:cs="Arial"/>
          <w:lang w:val="fr-FR"/>
        </w:rPr>
        <w:t xml:space="preserve"> dans la formation initiale des médecins.</w:t>
      </w:r>
      <w:r w:rsidRPr="00A86354" w:rsidR="00EE4645">
        <w:rPr>
          <w:rFonts w:cs="Arial"/>
          <w:lang w:val="fr-FR"/>
        </w:rPr>
        <w:t xml:space="preserve">        </w:t>
      </w:r>
      <w:r w:rsidRPr="00A86354" w:rsidR="00AB3D13">
        <w:rPr>
          <w:rFonts w:cs="Arial"/>
          <w:lang w:val="fr-FR"/>
        </w:rPr>
        <w:t xml:space="preserve"> </w:t>
      </w:r>
    </w:p>
    <w:p w:rsidRPr="00A86354" w:rsidR="00EE4645" w:rsidP="00EE4645" w:rsidRDefault="00EE4645" w14:paraId="7DCD9FFE" w14:textId="77777777">
      <w:pPr>
        <w:rPr>
          <w:rFonts w:ascii="Arial" w:hAnsi="Arial" w:cs="Arial"/>
          <w:i/>
          <w:iCs/>
          <w:lang w:val="fr-FR"/>
        </w:rPr>
      </w:pPr>
    </w:p>
    <w:p w:rsidRPr="00A86354" w:rsidR="00F71E3F" w:rsidP="00CE016A" w:rsidRDefault="00D80966" w14:paraId="39965417" w14:textId="108487F2">
      <w:pPr>
        <w:pStyle w:val="ListParagraph"/>
        <w:numPr>
          <w:ilvl w:val="0"/>
          <w:numId w:val="1"/>
        </w:numPr>
        <w:ind w:left="0" w:firstLine="0"/>
        <w:rPr>
          <w:rFonts w:cs="Arial"/>
          <w:lang w:val="fr-FR"/>
        </w:rPr>
      </w:pPr>
      <w:r w:rsidRPr="00A86354">
        <w:rPr>
          <w:rFonts w:cs="Arial"/>
          <w:lang w:val="fr-FR"/>
        </w:rPr>
        <w:t xml:space="preserve">Selon </w:t>
      </w:r>
      <w:r w:rsidRPr="00A86354" w:rsidR="0040523D">
        <w:rPr>
          <w:rFonts w:cs="Arial"/>
          <w:lang w:val="fr-FR"/>
        </w:rPr>
        <w:t>la Défenseure des droits</w:t>
      </w:r>
      <w:r w:rsidRPr="00A86354" w:rsidR="00F71E3F">
        <w:rPr>
          <w:rFonts w:cs="Arial"/>
          <w:lang w:val="fr-FR"/>
        </w:rPr>
        <w:t xml:space="preserve">, </w:t>
      </w:r>
      <w:r w:rsidRPr="00A86354">
        <w:rPr>
          <w:rFonts w:cs="Arial"/>
          <w:lang w:val="fr-FR"/>
        </w:rPr>
        <w:t>bien que les établissements spécialisés et les services d</w:t>
      </w:r>
      <w:r w:rsidRPr="00A86354" w:rsidR="0006032C">
        <w:rPr>
          <w:rFonts w:cs="Arial"/>
          <w:lang w:val="fr-FR"/>
        </w:rPr>
        <w:t>’</w:t>
      </w:r>
      <w:r w:rsidRPr="00A86354">
        <w:rPr>
          <w:rFonts w:cs="Arial"/>
          <w:lang w:val="fr-FR"/>
        </w:rPr>
        <w:t>accompagnement à l</w:t>
      </w:r>
      <w:r w:rsidRPr="00A86354" w:rsidR="0006032C">
        <w:rPr>
          <w:rFonts w:cs="Arial"/>
          <w:lang w:val="fr-FR"/>
        </w:rPr>
        <w:t>’</w:t>
      </w:r>
      <w:r w:rsidRPr="00A86354">
        <w:rPr>
          <w:rFonts w:cs="Arial"/>
          <w:lang w:val="fr-FR"/>
        </w:rPr>
        <w:t>autonomie présentent une très grande diversité de réponses aux besoins des personnes handicapées, l</w:t>
      </w:r>
      <w:r w:rsidRPr="00A86354" w:rsidR="0006032C">
        <w:rPr>
          <w:rFonts w:cs="Arial"/>
          <w:lang w:val="fr-FR"/>
        </w:rPr>
        <w:t>’</w:t>
      </w:r>
      <w:r w:rsidRPr="00A86354">
        <w:rPr>
          <w:rFonts w:cs="Arial"/>
          <w:lang w:val="fr-FR"/>
        </w:rPr>
        <w:t>insuffisance de l</w:t>
      </w:r>
      <w:r w:rsidRPr="00A86354" w:rsidR="0006032C">
        <w:rPr>
          <w:rFonts w:cs="Arial"/>
          <w:lang w:val="fr-FR"/>
        </w:rPr>
        <w:t>’</w:t>
      </w:r>
      <w:r w:rsidRPr="00A86354">
        <w:rPr>
          <w:rFonts w:cs="Arial"/>
          <w:lang w:val="fr-FR"/>
        </w:rPr>
        <w:t xml:space="preserve">offre conduit trop souvent à des départs </w:t>
      </w:r>
      <w:r w:rsidRPr="00A86354" w:rsidR="00C464EA">
        <w:rPr>
          <w:rFonts w:cs="Arial"/>
          <w:lang w:val="fr-FR"/>
        </w:rPr>
        <w:t>contraints</w:t>
      </w:r>
      <w:r w:rsidRPr="00A86354">
        <w:rPr>
          <w:rFonts w:cs="Arial"/>
          <w:lang w:val="fr-FR"/>
        </w:rPr>
        <w:t xml:space="preserve"> vers un lieu d</w:t>
      </w:r>
      <w:r w:rsidRPr="00A86354" w:rsidR="0006032C">
        <w:rPr>
          <w:rFonts w:cs="Arial"/>
          <w:lang w:val="fr-FR"/>
        </w:rPr>
        <w:t>’</w:t>
      </w:r>
      <w:r w:rsidRPr="00A86354">
        <w:rPr>
          <w:rFonts w:cs="Arial"/>
          <w:lang w:val="fr-FR"/>
        </w:rPr>
        <w:t xml:space="preserve">accueil éloigné de la famille ou dans un établissement inadapté au handicap de la personne. </w:t>
      </w:r>
      <w:r w:rsidRPr="00A86354" w:rsidR="00C464EA">
        <w:rPr>
          <w:rFonts w:cs="Arial"/>
          <w:lang w:val="fr-FR"/>
        </w:rPr>
        <w:t>Des milliers d</w:t>
      </w:r>
      <w:r w:rsidRPr="00A86354" w:rsidR="0006032C">
        <w:rPr>
          <w:rFonts w:cs="Arial"/>
          <w:lang w:val="fr-FR"/>
        </w:rPr>
        <w:t>’</w:t>
      </w:r>
      <w:r w:rsidRPr="00A86354" w:rsidR="00C464EA">
        <w:rPr>
          <w:rFonts w:cs="Arial"/>
          <w:lang w:val="fr-FR"/>
        </w:rPr>
        <w:t>adultes et enfants (environ 6 450 adultes et 1 430 enfants handicapés français au 31 décembre 2018) sont accueillis dans des établissements belges pour pallier les carences de l</w:t>
      </w:r>
      <w:r w:rsidRPr="00A86354" w:rsidR="0006032C">
        <w:rPr>
          <w:rFonts w:cs="Arial"/>
          <w:lang w:val="fr-FR"/>
        </w:rPr>
        <w:t>’</w:t>
      </w:r>
      <w:r w:rsidRPr="00A86354" w:rsidR="00C464EA">
        <w:rPr>
          <w:rFonts w:cs="Arial"/>
          <w:lang w:val="fr-FR"/>
        </w:rPr>
        <w:t xml:space="preserve">offre médico-sociale en France. Ces départs, le plus souvent contraints, ont lieu sur orientation des Maisons départementales des personnes </w:t>
      </w:r>
      <w:r w:rsidRPr="00A86354" w:rsidR="00C464EA">
        <w:rPr>
          <w:rFonts w:cs="Arial"/>
          <w:lang w:val="fr-FR"/>
        </w:rPr>
        <w:lastRenderedPageBreak/>
        <w:t xml:space="preserve">handicapées (MDPH </w:t>
      </w:r>
      <w:r w:rsidRPr="00A86354" w:rsidR="008B7890">
        <w:rPr>
          <w:rFonts w:cs="Arial"/>
          <w:lang w:val="fr-FR"/>
        </w:rPr>
        <w:t>–</w:t>
      </w:r>
      <w:r w:rsidRPr="00A86354" w:rsidR="00C464EA">
        <w:rPr>
          <w:rFonts w:cs="Arial"/>
          <w:lang w:val="fr-FR"/>
        </w:rPr>
        <w:t xml:space="preserve"> le département est une division administrative du territoire français placée sous l</w:t>
      </w:r>
      <w:r w:rsidRPr="00A86354" w:rsidR="0006032C">
        <w:rPr>
          <w:rFonts w:cs="Arial"/>
          <w:lang w:val="fr-FR"/>
        </w:rPr>
        <w:t>’</w:t>
      </w:r>
      <w:r w:rsidRPr="00A86354" w:rsidR="00C464EA">
        <w:rPr>
          <w:rFonts w:cs="Arial"/>
          <w:lang w:val="fr-FR"/>
        </w:rPr>
        <w:t>autorité d</w:t>
      </w:r>
      <w:r w:rsidRPr="00A86354" w:rsidR="0006032C">
        <w:rPr>
          <w:rFonts w:cs="Arial"/>
          <w:lang w:val="fr-FR"/>
        </w:rPr>
        <w:t>’</w:t>
      </w:r>
      <w:r w:rsidRPr="00A86354" w:rsidR="00C464EA">
        <w:rPr>
          <w:rFonts w:cs="Arial"/>
          <w:lang w:val="fr-FR"/>
        </w:rPr>
        <w:t xml:space="preserve">un préfet et administrée par un Conseil général) et donnent lieu à un financement, par les autorités françaises, estimé à environ 400 millions </w:t>
      </w:r>
      <w:r w:rsidRPr="00A86354" w:rsidR="00E245AA">
        <w:rPr>
          <w:rFonts w:cs="Arial"/>
          <w:lang w:val="fr-FR"/>
        </w:rPr>
        <w:t>EUR</w:t>
      </w:r>
      <w:r w:rsidRPr="00A86354" w:rsidR="00C464EA">
        <w:rPr>
          <w:rFonts w:cs="Arial"/>
          <w:lang w:val="fr-FR"/>
        </w:rPr>
        <w:t>. La Défenseure des droits indique que de multiples rapports et enquêtes dénoncent depuis de nombreuses années cette situation anormale qui entraîne la violation de nombreux droits fondamentaux, et notamment le libre choix du lieu de résidence et le droit à une vie familiale et privée.</w:t>
      </w:r>
    </w:p>
    <w:p w:rsidRPr="00A86354" w:rsidR="00F71E3F" w:rsidP="00F71E3F" w:rsidRDefault="00F71E3F" w14:paraId="5724D823" w14:textId="77777777">
      <w:pPr>
        <w:pStyle w:val="ListParagraph"/>
        <w:rPr>
          <w:rFonts w:cs="Arial"/>
          <w:lang w:val="fr-FR"/>
        </w:rPr>
      </w:pPr>
    </w:p>
    <w:p w:rsidRPr="00A86354" w:rsidR="00F71E3F" w:rsidP="00CE016A" w:rsidRDefault="00176E65" w14:paraId="1B5B9213" w14:textId="1C7D2E3F">
      <w:pPr>
        <w:pStyle w:val="ListParagraph"/>
        <w:numPr>
          <w:ilvl w:val="0"/>
          <w:numId w:val="1"/>
        </w:numPr>
        <w:ind w:left="0" w:firstLine="0"/>
        <w:rPr>
          <w:rFonts w:cs="Arial"/>
          <w:lang w:val="fr-FR"/>
        </w:rPr>
      </w:pPr>
      <w:r w:rsidRPr="00A86354">
        <w:rPr>
          <w:rFonts w:cs="Arial"/>
          <w:lang w:val="fr-FR"/>
        </w:rPr>
        <w:t>De plus, selon</w:t>
      </w:r>
      <w:r w:rsidRPr="00A86354" w:rsidR="00F71E3F">
        <w:rPr>
          <w:rFonts w:cs="Arial"/>
          <w:lang w:val="fr-FR"/>
        </w:rPr>
        <w:t xml:space="preserve"> </w:t>
      </w:r>
      <w:r w:rsidRPr="00A86354" w:rsidR="0040523D">
        <w:rPr>
          <w:rFonts w:cs="Arial"/>
          <w:lang w:val="fr-FR"/>
        </w:rPr>
        <w:t>la Défenseure des droits</w:t>
      </w:r>
      <w:r w:rsidRPr="00A86354" w:rsidR="00F71E3F">
        <w:rPr>
          <w:rFonts w:cs="Arial"/>
          <w:lang w:val="fr-FR"/>
        </w:rPr>
        <w:t xml:space="preserve">, </w:t>
      </w:r>
      <w:r w:rsidRPr="00A86354" w:rsidR="00F13EAF">
        <w:rPr>
          <w:rFonts w:cs="Arial"/>
          <w:lang w:val="fr-FR"/>
        </w:rPr>
        <w:t>un nombre indéterminé d</w:t>
      </w:r>
      <w:r w:rsidRPr="00A86354" w:rsidR="0006032C">
        <w:rPr>
          <w:rFonts w:cs="Arial"/>
          <w:lang w:val="fr-FR"/>
        </w:rPr>
        <w:t>’</w:t>
      </w:r>
      <w:r w:rsidRPr="00A86354" w:rsidR="00F13EAF">
        <w:rPr>
          <w:rFonts w:cs="Arial"/>
          <w:lang w:val="fr-FR"/>
        </w:rPr>
        <w:t>enfants et d</w:t>
      </w:r>
      <w:r w:rsidRPr="00A86354" w:rsidR="0006032C">
        <w:rPr>
          <w:rFonts w:cs="Arial"/>
          <w:lang w:val="fr-FR"/>
        </w:rPr>
        <w:t>’</w:t>
      </w:r>
      <w:r w:rsidRPr="00A86354" w:rsidR="00F13EAF">
        <w:rPr>
          <w:rFonts w:cs="Arial"/>
          <w:lang w:val="fr-FR"/>
        </w:rPr>
        <w:t>adultes se trouvent sans aucune solution, malgré les nombreux plans de création de places qui ont été déployés depuis plusieurs décennies. Un certain nombre de jeunes adultes sont maintenus, faute d</w:t>
      </w:r>
      <w:r w:rsidRPr="00A86354" w:rsidR="0006032C">
        <w:rPr>
          <w:rFonts w:cs="Arial"/>
          <w:lang w:val="fr-FR"/>
        </w:rPr>
        <w:t>’</w:t>
      </w:r>
      <w:r w:rsidRPr="00A86354" w:rsidR="00F13EAF">
        <w:rPr>
          <w:rFonts w:cs="Arial"/>
          <w:lang w:val="fr-FR"/>
        </w:rPr>
        <w:t>alternatives, dans des établissements pour enfants</w:t>
      </w:r>
      <w:r w:rsidRPr="00A86354" w:rsidR="00F71E3F">
        <w:rPr>
          <w:rFonts w:cs="Arial"/>
          <w:lang w:val="fr-FR"/>
        </w:rPr>
        <w:t>.</w:t>
      </w:r>
    </w:p>
    <w:p w:rsidRPr="00A86354" w:rsidR="00247A78" w:rsidP="00C8462E" w:rsidRDefault="00247A78" w14:paraId="602328FE" w14:textId="77777777">
      <w:pPr>
        <w:pStyle w:val="ListParagraph"/>
        <w:ind w:left="360" w:hanging="360"/>
        <w:rPr>
          <w:rFonts w:cs="Arial"/>
          <w:i/>
          <w:iCs/>
          <w:lang w:val="fr-FR"/>
        </w:rPr>
      </w:pPr>
    </w:p>
    <w:p w:rsidRPr="00A86354" w:rsidR="00C8462E" w:rsidP="00C8462E" w:rsidRDefault="00D17F9F" w14:paraId="15F819FB" w14:textId="1BEF5AEE">
      <w:pPr>
        <w:pStyle w:val="ListParagraph"/>
        <w:ind w:left="360" w:hanging="360"/>
        <w:rPr>
          <w:rFonts w:cs="Arial"/>
          <w:i/>
          <w:iCs/>
          <w:lang w:val="fr-FR"/>
        </w:rPr>
      </w:pPr>
      <w:r w:rsidRPr="00A86354">
        <w:rPr>
          <w:rFonts w:cs="Arial"/>
          <w:i/>
          <w:iCs/>
          <w:lang w:val="fr-FR"/>
        </w:rPr>
        <w:t>Aide financière</w:t>
      </w:r>
    </w:p>
    <w:p w:rsidRPr="00A86354" w:rsidR="00C8462E" w:rsidP="00B7440C" w:rsidRDefault="00C8462E" w14:paraId="07906A6C" w14:textId="77777777">
      <w:pPr>
        <w:pStyle w:val="ListParagraph"/>
        <w:rPr>
          <w:rFonts w:cs="Arial"/>
          <w:lang w:val="fr-FR"/>
        </w:rPr>
      </w:pPr>
    </w:p>
    <w:p w:rsidRPr="00A86354" w:rsidR="009252F2" w:rsidP="00CE016A" w:rsidRDefault="00F13EAF" w14:paraId="1F51726C" w14:textId="580C1CEE">
      <w:pPr>
        <w:pStyle w:val="ListParagraph"/>
        <w:numPr>
          <w:ilvl w:val="0"/>
          <w:numId w:val="1"/>
        </w:numPr>
        <w:ind w:left="0" w:firstLine="0"/>
        <w:rPr>
          <w:rFonts w:cs="Arial"/>
          <w:lang w:val="fr-FR"/>
        </w:rPr>
      </w:pPr>
      <w:r w:rsidRPr="00A86354">
        <w:rPr>
          <w:rFonts w:cs="Arial"/>
          <w:lang w:val="fr-FR"/>
        </w:rPr>
        <w:t>D</w:t>
      </w:r>
      <w:r w:rsidRPr="00A86354" w:rsidR="0006032C">
        <w:rPr>
          <w:rFonts w:cs="Arial"/>
          <w:lang w:val="fr-FR"/>
        </w:rPr>
        <w:t>’</w:t>
      </w:r>
      <w:r w:rsidRPr="00A86354">
        <w:rPr>
          <w:rFonts w:cs="Arial"/>
          <w:lang w:val="fr-FR"/>
        </w:rPr>
        <w:t>après la</w:t>
      </w:r>
      <w:r w:rsidRPr="00A86354" w:rsidR="0040523D">
        <w:rPr>
          <w:rFonts w:cs="Arial"/>
          <w:lang w:val="fr-FR"/>
        </w:rPr>
        <w:t xml:space="preserve"> Défenseure des droits</w:t>
      </w:r>
      <w:r w:rsidRPr="00A86354" w:rsidR="000175F2">
        <w:rPr>
          <w:rFonts w:cs="Arial"/>
          <w:lang w:val="fr-FR"/>
        </w:rPr>
        <w:t xml:space="preserve">, </w:t>
      </w:r>
      <w:r w:rsidRPr="00A86354">
        <w:rPr>
          <w:rFonts w:cs="Arial"/>
          <w:lang w:val="fr-FR"/>
        </w:rPr>
        <w:t>bien que la loi de 2005 ait institué, pour toute personne handicapée, un droit à compensation des conséquences de son handicap, dans sa mise en œuvre, ce droit connaît de nombreuses limites</w:t>
      </w:r>
      <w:r w:rsidRPr="00A86354" w:rsidR="00E307E0">
        <w:rPr>
          <w:rFonts w:cs="Arial"/>
          <w:lang w:val="fr-FR"/>
        </w:rPr>
        <w:t>.</w:t>
      </w:r>
      <w:r w:rsidRPr="00A86354" w:rsidR="00302444">
        <w:rPr>
          <w:rFonts w:cs="Arial"/>
          <w:lang w:val="fr-FR"/>
        </w:rPr>
        <w:t xml:space="preserve"> </w:t>
      </w:r>
      <w:r w:rsidRPr="00A86354" w:rsidR="00441BD3">
        <w:rPr>
          <w:rFonts w:cs="Arial"/>
          <w:lang w:val="fr-FR"/>
        </w:rPr>
        <w:t>O</w:t>
      </w:r>
      <w:r w:rsidRPr="00A86354" w:rsidR="00302444">
        <w:rPr>
          <w:rFonts w:cs="Arial"/>
          <w:lang w:val="fr-FR"/>
        </w:rPr>
        <w:t xml:space="preserve">utre des problèmes récurrents liés aux délais de traitement </w:t>
      </w:r>
      <w:r w:rsidRPr="00A86354" w:rsidR="00441BD3">
        <w:rPr>
          <w:rFonts w:cs="Arial"/>
          <w:lang w:val="fr-FR"/>
        </w:rPr>
        <w:t>excessifs des demandes de compensation, la</w:t>
      </w:r>
      <w:r w:rsidRPr="00A86354" w:rsidR="00302444">
        <w:rPr>
          <w:rFonts w:cs="Arial"/>
          <w:lang w:val="fr-FR"/>
        </w:rPr>
        <w:t xml:space="preserve"> Défenseur</w:t>
      </w:r>
      <w:r w:rsidRPr="00A86354" w:rsidR="00441BD3">
        <w:rPr>
          <w:rFonts w:cs="Arial"/>
          <w:lang w:val="fr-FR"/>
        </w:rPr>
        <w:t>e</w:t>
      </w:r>
      <w:r w:rsidRPr="00A86354" w:rsidR="00302444">
        <w:rPr>
          <w:rFonts w:cs="Arial"/>
          <w:lang w:val="fr-FR"/>
        </w:rPr>
        <w:t xml:space="preserve"> des droits souligne les inégalités territoriales induites </w:t>
      </w:r>
      <w:r w:rsidRPr="00A86354" w:rsidR="00441BD3">
        <w:rPr>
          <w:rFonts w:cs="Arial"/>
          <w:lang w:val="fr-FR"/>
        </w:rPr>
        <w:t xml:space="preserve">à cet égard </w:t>
      </w:r>
      <w:r w:rsidRPr="00A86354" w:rsidR="00302444">
        <w:rPr>
          <w:rFonts w:cs="Arial"/>
          <w:lang w:val="fr-FR"/>
        </w:rPr>
        <w:t>par la diversité des modes de fonctionnement et des moyens des MDPH</w:t>
      </w:r>
      <w:r w:rsidRPr="00A86354" w:rsidR="00441BD3">
        <w:rPr>
          <w:rFonts w:cs="Arial"/>
          <w:lang w:val="fr-FR"/>
        </w:rPr>
        <w:t xml:space="preserve"> qui constitue</w:t>
      </w:r>
      <w:r w:rsidRPr="00A86354" w:rsidR="00E245AA">
        <w:rPr>
          <w:rFonts w:cs="Arial"/>
          <w:lang w:val="fr-FR"/>
        </w:rPr>
        <w:t>nt</w:t>
      </w:r>
      <w:r w:rsidRPr="00A86354" w:rsidR="00441BD3">
        <w:rPr>
          <w:rFonts w:cs="Arial"/>
          <w:lang w:val="fr-FR"/>
        </w:rPr>
        <w:t xml:space="preserve"> un acteur central dans la mise en œuvre du droit à compensation.</w:t>
      </w:r>
      <w:r w:rsidRPr="00A86354" w:rsidR="00302444">
        <w:rPr>
          <w:rFonts w:cs="Arial"/>
          <w:lang w:val="fr-FR"/>
        </w:rPr>
        <w:t xml:space="preserve"> </w:t>
      </w:r>
      <w:r w:rsidRPr="00A86354" w:rsidR="00441BD3">
        <w:rPr>
          <w:rFonts w:cs="Arial"/>
          <w:lang w:val="fr-FR"/>
        </w:rPr>
        <w:t>Ces inégalités territoriales résultent de la diversité</w:t>
      </w:r>
      <w:r w:rsidRPr="00A86354" w:rsidR="00302444">
        <w:rPr>
          <w:rFonts w:cs="Arial"/>
          <w:lang w:val="fr-FR"/>
        </w:rPr>
        <w:t xml:space="preserve"> des modalités d</w:t>
      </w:r>
      <w:r w:rsidRPr="00A86354" w:rsidR="0006032C">
        <w:rPr>
          <w:rFonts w:cs="Arial"/>
          <w:lang w:val="fr-FR"/>
        </w:rPr>
        <w:t>’</w:t>
      </w:r>
      <w:r w:rsidRPr="00A86354" w:rsidR="00302444">
        <w:rPr>
          <w:rFonts w:cs="Arial"/>
          <w:lang w:val="fr-FR"/>
        </w:rPr>
        <w:t>évaluation des besoins</w:t>
      </w:r>
      <w:r w:rsidRPr="00A86354" w:rsidR="00441BD3">
        <w:rPr>
          <w:rFonts w:cs="Arial"/>
          <w:lang w:val="fr-FR"/>
        </w:rPr>
        <w:t>,</w:t>
      </w:r>
      <w:r w:rsidRPr="00A86354" w:rsidR="00302444">
        <w:rPr>
          <w:rFonts w:cs="Arial"/>
          <w:lang w:val="fr-FR"/>
        </w:rPr>
        <w:t xml:space="preserve"> de la variabilité de la lecture du droit </w:t>
      </w:r>
      <w:r w:rsidRPr="00A86354" w:rsidR="00441BD3">
        <w:rPr>
          <w:rFonts w:cs="Arial"/>
          <w:lang w:val="fr-FR"/>
        </w:rPr>
        <w:t xml:space="preserve">à compensation </w:t>
      </w:r>
      <w:r w:rsidRPr="00A86354" w:rsidR="00302444">
        <w:rPr>
          <w:rFonts w:cs="Arial"/>
          <w:lang w:val="fr-FR"/>
        </w:rPr>
        <w:t>d</w:t>
      </w:r>
      <w:r w:rsidRPr="00A86354" w:rsidR="0006032C">
        <w:rPr>
          <w:rFonts w:cs="Arial"/>
          <w:lang w:val="fr-FR"/>
        </w:rPr>
        <w:t>’</w:t>
      </w:r>
      <w:r w:rsidRPr="00A86354" w:rsidR="00302444">
        <w:rPr>
          <w:rFonts w:cs="Arial"/>
          <w:lang w:val="fr-FR"/>
        </w:rPr>
        <w:t>une MDPH à l</w:t>
      </w:r>
      <w:r w:rsidRPr="00A86354" w:rsidR="0006032C">
        <w:rPr>
          <w:rFonts w:cs="Arial"/>
          <w:lang w:val="fr-FR"/>
        </w:rPr>
        <w:t>’</w:t>
      </w:r>
      <w:r w:rsidRPr="00A86354" w:rsidR="00302444">
        <w:rPr>
          <w:rFonts w:cs="Arial"/>
          <w:lang w:val="fr-FR"/>
        </w:rPr>
        <w:t>autre</w:t>
      </w:r>
      <w:r w:rsidRPr="00A86354" w:rsidR="00441BD3">
        <w:rPr>
          <w:rFonts w:cs="Arial"/>
          <w:lang w:val="fr-FR"/>
        </w:rPr>
        <w:t>,</w:t>
      </w:r>
      <w:r w:rsidRPr="00A86354" w:rsidR="00302444">
        <w:rPr>
          <w:rFonts w:cs="Arial"/>
          <w:lang w:val="fr-FR"/>
        </w:rPr>
        <w:t xml:space="preserve"> du manque de transparence dans l</w:t>
      </w:r>
      <w:r w:rsidRPr="00A86354" w:rsidR="0006032C">
        <w:rPr>
          <w:rFonts w:cs="Arial"/>
          <w:lang w:val="fr-FR"/>
        </w:rPr>
        <w:t>’</w:t>
      </w:r>
      <w:r w:rsidRPr="00A86354" w:rsidR="00302444">
        <w:rPr>
          <w:rFonts w:cs="Arial"/>
          <w:lang w:val="fr-FR"/>
        </w:rPr>
        <w:t>attribution de</w:t>
      </w:r>
      <w:r w:rsidRPr="00A86354" w:rsidR="00441BD3">
        <w:rPr>
          <w:rFonts w:cs="Arial"/>
          <w:lang w:val="fr-FR"/>
        </w:rPr>
        <w:t xml:space="preserve"> la </w:t>
      </w:r>
      <w:r w:rsidRPr="00A86354" w:rsidR="00DD2693">
        <w:rPr>
          <w:rFonts w:cs="Arial"/>
          <w:lang w:val="fr-FR"/>
        </w:rPr>
        <w:t>prestation de compensation</w:t>
      </w:r>
      <w:r w:rsidRPr="00A86354" w:rsidR="00441BD3">
        <w:rPr>
          <w:rFonts w:cs="Arial"/>
          <w:lang w:val="fr-FR"/>
        </w:rPr>
        <w:t xml:space="preserve"> et</w:t>
      </w:r>
      <w:r w:rsidRPr="00A86354" w:rsidR="00302444">
        <w:rPr>
          <w:rFonts w:cs="Arial"/>
          <w:lang w:val="fr-FR"/>
        </w:rPr>
        <w:t xml:space="preserve"> du manque de coordination entre les MDPH</w:t>
      </w:r>
      <w:r w:rsidRPr="00A86354" w:rsidR="009252F2">
        <w:rPr>
          <w:rFonts w:cs="Arial"/>
          <w:lang w:val="fr-FR"/>
        </w:rPr>
        <w:t xml:space="preserve">.   </w:t>
      </w:r>
    </w:p>
    <w:p w:rsidRPr="00A86354" w:rsidR="009252F2" w:rsidP="009252F2" w:rsidRDefault="009252F2" w14:paraId="04AAAFA8" w14:textId="77777777">
      <w:pPr>
        <w:pStyle w:val="ListParagraph"/>
        <w:rPr>
          <w:rFonts w:cs="Arial"/>
          <w:lang w:val="fr-FR"/>
        </w:rPr>
      </w:pPr>
    </w:p>
    <w:p w:rsidRPr="00A86354" w:rsidR="00B4268A" w:rsidP="00CE016A" w:rsidRDefault="00DD2693" w14:paraId="4FCAD3E1" w14:textId="7E611A8B">
      <w:pPr>
        <w:pStyle w:val="ListParagraph"/>
        <w:numPr>
          <w:ilvl w:val="0"/>
          <w:numId w:val="1"/>
        </w:numPr>
        <w:ind w:left="0" w:firstLine="0"/>
        <w:rPr>
          <w:rFonts w:cs="Arial"/>
          <w:lang w:val="fr-FR"/>
        </w:rPr>
      </w:pPr>
      <w:r w:rsidRPr="00A86354">
        <w:rPr>
          <w:rFonts w:cs="Arial"/>
          <w:lang w:val="fr-FR"/>
        </w:rPr>
        <w:t>Si certaines améliorations ont été apportées par la législation, telles que la suppression en 2020 de</w:t>
      </w:r>
      <w:r w:rsidRPr="00A86354" w:rsidR="00CA1D06">
        <w:rPr>
          <w:rFonts w:cs="Arial"/>
          <w:lang w:val="fr-FR"/>
        </w:rPr>
        <w:t xml:space="preserve"> la</w:t>
      </w:r>
      <w:r w:rsidRPr="00A86354">
        <w:rPr>
          <w:rFonts w:cs="Arial"/>
          <w:lang w:val="fr-FR"/>
        </w:rPr>
        <w:t xml:space="preserve"> limite d</w:t>
      </w:r>
      <w:r w:rsidRPr="00A86354" w:rsidR="0006032C">
        <w:rPr>
          <w:rFonts w:cs="Arial"/>
          <w:lang w:val="fr-FR"/>
        </w:rPr>
        <w:t>’</w:t>
      </w:r>
      <w:r w:rsidRPr="00A86354">
        <w:rPr>
          <w:rFonts w:cs="Arial"/>
          <w:lang w:val="fr-FR"/>
        </w:rPr>
        <w:t>âge légale pour l</w:t>
      </w:r>
      <w:r w:rsidRPr="00A86354" w:rsidR="0006032C">
        <w:rPr>
          <w:rFonts w:cs="Arial"/>
          <w:lang w:val="fr-FR"/>
        </w:rPr>
        <w:t>’</w:t>
      </w:r>
      <w:r w:rsidRPr="00A86354">
        <w:rPr>
          <w:rFonts w:cs="Arial"/>
          <w:lang w:val="fr-FR"/>
        </w:rPr>
        <w:t xml:space="preserve">attribution de la prestation de compensation du  handicap </w:t>
      </w:r>
      <w:r w:rsidRPr="00A86354" w:rsidR="00CA1D06">
        <w:rPr>
          <w:rFonts w:cs="Arial"/>
          <w:lang w:val="fr-FR"/>
        </w:rPr>
        <w:t xml:space="preserve">(avant les modifications législatives, </w:t>
      </w:r>
      <w:r w:rsidRPr="00A86354">
        <w:rPr>
          <w:rFonts w:cs="Arial"/>
          <w:lang w:val="fr-FR"/>
        </w:rPr>
        <w:t>la barrière d</w:t>
      </w:r>
      <w:r w:rsidRPr="00A86354" w:rsidR="0006032C">
        <w:rPr>
          <w:rFonts w:cs="Arial"/>
          <w:lang w:val="fr-FR"/>
        </w:rPr>
        <w:t>’</w:t>
      </w:r>
      <w:r w:rsidRPr="00A86354">
        <w:rPr>
          <w:rFonts w:cs="Arial"/>
          <w:lang w:val="fr-FR"/>
        </w:rPr>
        <w:t xml:space="preserve">âge était fixée à 75 ans), ou encore la possibilité de bénéficier de la PCH </w:t>
      </w:r>
      <w:r w:rsidRPr="00A86354" w:rsidR="000807D5">
        <w:rPr>
          <w:rFonts w:cs="Arial"/>
          <w:lang w:val="fr-FR"/>
        </w:rPr>
        <w:t>« </w:t>
      </w:r>
      <w:r w:rsidRPr="00A86354">
        <w:rPr>
          <w:rFonts w:cs="Arial"/>
          <w:lang w:val="fr-FR"/>
        </w:rPr>
        <w:t>à vie</w:t>
      </w:r>
      <w:r w:rsidRPr="00A86354" w:rsidR="000807D5">
        <w:rPr>
          <w:rFonts w:cs="Arial"/>
          <w:lang w:val="fr-FR"/>
        </w:rPr>
        <w:t> »</w:t>
      </w:r>
      <w:r w:rsidRPr="00A86354">
        <w:rPr>
          <w:rFonts w:cs="Arial"/>
          <w:lang w:val="fr-FR"/>
        </w:rPr>
        <w:t xml:space="preserve"> lorsque le handicap n</w:t>
      </w:r>
      <w:r w:rsidRPr="00A86354" w:rsidR="0006032C">
        <w:rPr>
          <w:rFonts w:cs="Arial"/>
          <w:lang w:val="fr-FR"/>
        </w:rPr>
        <w:t>’</w:t>
      </w:r>
      <w:r w:rsidRPr="00A86354">
        <w:rPr>
          <w:rFonts w:cs="Arial"/>
          <w:lang w:val="fr-FR"/>
        </w:rPr>
        <w:t>est pas susceptible d</w:t>
      </w:r>
      <w:r w:rsidRPr="00A86354" w:rsidR="0006032C">
        <w:rPr>
          <w:rFonts w:cs="Arial"/>
          <w:lang w:val="fr-FR"/>
        </w:rPr>
        <w:t>’</w:t>
      </w:r>
      <w:r w:rsidRPr="00A86354">
        <w:rPr>
          <w:rFonts w:cs="Arial"/>
          <w:lang w:val="fr-FR"/>
        </w:rPr>
        <w:t>évoluer favorablement</w:t>
      </w:r>
      <w:r w:rsidRPr="00A86354" w:rsidR="000823D2">
        <w:rPr>
          <w:rFonts w:cs="Arial"/>
          <w:lang w:val="fr-FR"/>
        </w:rPr>
        <w:t xml:space="preserve">, </w:t>
      </w:r>
      <w:r w:rsidRPr="00A86354">
        <w:rPr>
          <w:rFonts w:cs="Arial"/>
          <w:lang w:val="fr-FR"/>
        </w:rPr>
        <w:t>d</w:t>
      </w:r>
      <w:r w:rsidRPr="00A86354" w:rsidR="0006032C">
        <w:rPr>
          <w:rFonts w:cs="Arial"/>
          <w:lang w:val="fr-FR"/>
        </w:rPr>
        <w:t>’</w:t>
      </w:r>
      <w:r w:rsidRPr="00A86354">
        <w:rPr>
          <w:rFonts w:cs="Arial"/>
          <w:lang w:val="fr-FR"/>
        </w:rPr>
        <w:t>autres problématiques</w:t>
      </w:r>
      <w:r w:rsidRPr="00A86354" w:rsidR="00CA1D06">
        <w:rPr>
          <w:rFonts w:cs="Arial"/>
          <w:lang w:val="fr-FR"/>
        </w:rPr>
        <w:t xml:space="preserve"> demeurent, notamment concernant</w:t>
      </w:r>
      <w:r w:rsidRPr="00A86354">
        <w:rPr>
          <w:rFonts w:cs="Arial"/>
          <w:lang w:val="fr-FR"/>
        </w:rPr>
        <w:t xml:space="preserve"> l</w:t>
      </w:r>
      <w:r w:rsidRPr="00A86354" w:rsidR="0006032C">
        <w:rPr>
          <w:rFonts w:cs="Arial"/>
          <w:lang w:val="fr-FR"/>
        </w:rPr>
        <w:t>’</w:t>
      </w:r>
      <w:r w:rsidRPr="00A86354">
        <w:rPr>
          <w:rFonts w:cs="Arial"/>
          <w:lang w:val="fr-FR"/>
        </w:rPr>
        <w:t xml:space="preserve">inadéquation des </w:t>
      </w:r>
      <w:r w:rsidRPr="00A86354" w:rsidR="00CA1D06">
        <w:rPr>
          <w:rFonts w:cs="Arial"/>
          <w:lang w:val="fr-FR"/>
        </w:rPr>
        <w:t>montants</w:t>
      </w:r>
      <w:r w:rsidRPr="00A86354">
        <w:rPr>
          <w:rFonts w:cs="Arial"/>
          <w:lang w:val="fr-FR"/>
        </w:rPr>
        <w:t xml:space="preserve"> de la PCH</w:t>
      </w:r>
      <w:r w:rsidRPr="00A86354" w:rsidR="00CA1D06">
        <w:rPr>
          <w:rFonts w:cs="Arial"/>
          <w:lang w:val="fr-FR"/>
        </w:rPr>
        <w:t xml:space="preserve"> destinés à répondre uniquement aux besoins </w:t>
      </w:r>
      <w:r w:rsidRPr="00A86354" w:rsidR="000807D5">
        <w:rPr>
          <w:rFonts w:cs="Arial"/>
          <w:lang w:val="fr-FR"/>
        </w:rPr>
        <w:t>« </w:t>
      </w:r>
      <w:r w:rsidRPr="00A86354" w:rsidR="00CA1D06">
        <w:rPr>
          <w:rFonts w:cs="Arial"/>
          <w:lang w:val="fr-FR"/>
        </w:rPr>
        <w:t>essentiels</w:t>
      </w:r>
      <w:r w:rsidRPr="00A86354" w:rsidR="000807D5">
        <w:rPr>
          <w:rFonts w:cs="Arial"/>
          <w:lang w:val="fr-FR"/>
        </w:rPr>
        <w:t> »</w:t>
      </w:r>
      <w:r w:rsidRPr="00A86354" w:rsidR="00CA1D06">
        <w:rPr>
          <w:rFonts w:cs="Arial"/>
          <w:lang w:val="fr-FR"/>
        </w:rPr>
        <w:t xml:space="preserve"> de l</w:t>
      </w:r>
      <w:r w:rsidRPr="00A86354" w:rsidR="0006032C">
        <w:rPr>
          <w:rFonts w:cs="Arial"/>
          <w:lang w:val="fr-FR"/>
        </w:rPr>
        <w:t>’</w:t>
      </w:r>
      <w:r w:rsidRPr="00A86354" w:rsidR="00CA1D06">
        <w:rPr>
          <w:rFonts w:cs="Arial"/>
          <w:lang w:val="fr-FR"/>
        </w:rPr>
        <w:t xml:space="preserve">existence, au mépris des besoins </w:t>
      </w:r>
      <w:r w:rsidRPr="00A86354" w:rsidR="000807D5">
        <w:rPr>
          <w:rFonts w:cs="Arial"/>
          <w:lang w:val="fr-FR"/>
        </w:rPr>
        <w:t>« </w:t>
      </w:r>
      <w:r w:rsidRPr="00A86354" w:rsidR="00CA1D06">
        <w:rPr>
          <w:rFonts w:cs="Arial"/>
          <w:lang w:val="fr-FR"/>
        </w:rPr>
        <w:t>réels</w:t>
      </w:r>
      <w:r w:rsidRPr="00A86354" w:rsidR="000807D5">
        <w:rPr>
          <w:rFonts w:cs="Arial"/>
          <w:lang w:val="fr-FR"/>
        </w:rPr>
        <w:t> »</w:t>
      </w:r>
      <w:r w:rsidRPr="00A86354" w:rsidR="00CA1D06">
        <w:rPr>
          <w:rFonts w:cs="Arial"/>
          <w:lang w:val="fr-FR"/>
        </w:rPr>
        <w:t xml:space="preserve"> des personnes handicapées pour participer activement à la vie publique, sociale et culturelle.</w:t>
      </w:r>
      <w:r w:rsidRPr="00A86354">
        <w:rPr>
          <w:rFonts w:cs="Arial"/>
          <w:lang w:val="fr-FR"/>
        </w:rPr>
        <w:t xml:space="preserve"> </w:t>
      </w:r>
      <w:r w:rsidRPr="00A86354" w:rsidR="0040523D">
        <w:rPr>
          <w:rFonts w:cs="Arial"/>
          <w:lang w:val="fr-FR"/>
        </w:rPr>
        <w:t>La Défenseure des droits</w:t>
      </w:r>
      <w:r w:rsidRPr="00A86354">
        <w:rPr>
          <w:rFonts w:cs="Arial"/>
          <w:lang w:val="fr-FR"/>
        </w:rPr>
        <w:t xml:space="preserve"> </w:t>
      </w:r>
      <w:r w:rsidRPr="00A86354" w:rsidR="00CA1D06">
        <w:rPr>
          <w:rFonts w:cs="Arial"/>
          <w:lang w:val="fr-FR"/>
        </w:rPr>
        <w:t>critique également</w:t>
      </w:r>
      <w:r w:rsidRPr="00A86354" w:rsidR="007818DC">
        <w:rPr>
          <w:rFonts w:cs="Arial"/>
          <w:lang w:val="fr-FR"/>
        </w:rPr>
        <w:t xml:space="preserve">, </w:t>
      </w:r>
      <w:r w:rsidRPr="00A86354" w:rsidR="00CA1D06">
        <w:rPr>
          <w:rFonts w:cs="Arial"/>
          <w:lang w:val="fr-FR"/>
        </w:rPr>
        <w:t>sur la base d</w:t>
      </w:r>
      <w:r w:rsidRPr="00A86354" w:rsidR="0006032C">
        <w:rPr>
          <w:rFonts w:cs="Arial"/>
          <w:lang w:val="fr-FR"/>
        </w:rPr>
        <w:t>’</w:t>
      </w:r>
      <w:r w:rsidRPr="00A86354" w:rsidR="00CA1D06">
        <w:rPr>
          <w:rFonts w:cs="Arial"/>
          <w:lang w:val="fr-FR"/>
        </w:rPr>
        <w:t>exemples concrets</w:t>
      </w:r>
      <w:r w:rsidRPr="00A86354" w:rsidR="007818DC">
        <w:rPr>
          <w:rFonts w:cs="Arial"/>
          <w:lang w:val="fr-FR"/>
        </w:rPr>
        <w:t xml:space="preserve">, </w:t>
      </w:r>
      <w:r w:rsidRPr="00A86354" w:rsidR="00CA1D06">
        <w:rPr>
          <w:rFonts w:cs="Arial"/>
          <w:lang w:val="fr-FR"/>
        </w:rPr>
        <w:t>les tarifs de remboursement insuffisants de l</w:t>
      </w:r>
      <w:r w:rsidRPr="00A86354" w:rsidR="0006032C">
        <w:rPr>
          <w:rFonts w:cs="Arial"/>
          <w:lang w:val="fr-FR"/>
        </w:rPr>
        <w:t>’</w:t>
      </w:r>
      <w:r w:rsidRPr="00A86354" w:rsidR="004857E6">
        <w:rPr>
          <w:rFonts w:cs="Arial"/>
          <w:lang w:val="fr-FR"/>
        </w:rPr>
        <w:t>« </w:t>
      </w:r>
      <w:r w:rsidRPr="00A86354" w:rsidR="00CA1D06">
        <w:rPr>
          <w:rFonts w:cs="Arial"/>
          <w:lang w:val="fr-FR"/>
        </w:rPr>
        <w:t>aide technique</w:t>
      </w:r>
      <w:r w:rsidRPr="00A86354" w:rsidR="000807D5">
        <w:rPr>
          <w:rFonts w:cs="Arial"/>
          <w:lang w:val="fr-FR"/>
        </w:rPr>
        <w:t> »</w:t>
      </w:r>
      <w:r w:rsidRPr="00A86354" w:rsidR="00CA1D06">
        <w:rPr>
          <w:rFonts w:cs="Arial"/>
          <w:lang w:val="fr-FR"/>
        </w:rPr>
        <w:t xml:space="preserve"> (telle que l</w:t>
      </w:r>
      <w:r w:rsidRPr="00A86354" w:rsidR="0006032C">
        <w:rPr>
          <w:rFonts w:cs="Arial"/>
          <w:lang w:val="fr-FR"/>
        </w:rPr>
        <w:t>’</w:t>
      </w:r>
      <w:r w:rsidRPr="00A86354" w:rsidR="00CA1D06">
        <w:rPr>
          <w:rFonts w:cs="Arial"/>
          <w:lang w:val="fr-FR"/>
        </w:rPr>
        <w:t>acquisition d</w:t>
      </w:r>
      <w:r w:rsidRPr="00A86354" w:rsidR="0006032C">
        <w:rPr>
          <w:rFonts w:cs="Arial"/>
          <w:lang w:val="fr-FR"/>
        </w:rPr>
        <w:t>’</w:t>
      </w:r>
      <w:r w:rsidRPr="00A86354" w:rsidR="00CA1D06">
        <w:rPr>
          <w:rFonts w:cs="Arial"/>
          <w:lang w:val="fr-FR"/>
        </w:rPr>
        <w:t>un fauteuil roulant électrique) qui font que presque la moitié du coût de l</w:t>
      </w:r>
      <w:r w:rsidRPr="00A86354" w:rsidR="0006032C">
        <w:rPr>
          <w:rFonts w:cs="Arial"/>
          <w:lang w:val="fr-FR"/>
        </w:rPr>
        <w:t>’</w:t>
      </w:r>
      <w:r w:rsidRPr="00A86354" w:rsidR="00CA1D06">
        <w:rPr>
          <w:rFonts w:cs="Arial"/>
          <w:lang w:val="fr-FR"/>
        </w:rPr>
        <w:t>aide technique reste à la charge de la personne handicapée</w:t>
      </w:r>
      <w:r w:rsidRPr="00A86354" w:rsidR="007818DC">
        <w:rPr>
          <w:rFonts w:cs="Arial"/>
          <w:lang w:val="fr-FR"/>
        </w:rPr>
        <w:t xml:space="preserve">. </w:t>
      </w:r>
      <w:r w:rsidRPr="00A86354" w:rsidR="00CA1D06">
        <w:rPr>
          <w:rFonts w:cs="Arial"/>
          <w:lang w:val="fr-FR"/>
        </w:rPr>
        <w:t xml:space="preserve">Bien que la loi de </w:t>
      </w:r>
      <w:r w:rsidRPr="00A86354" w:rsidR="00650059">
        <w:rPr>
          <w:rFonts w:cs="Arial"/>
          <w:lang w:val="fr-FR"/>
        </w:rPr>
        <w:t xml:space="preserve">2005 </w:t>
      </w:r>
      <w:r w:rsidRPr="00A86354" w:rsidR="00CA1D06">
        <w:rPr>
          <w:rFonts w:cs="Arial"/>
          <w:lang w:val="fr-FR"/>
        </w:rPr>
        <w:t xml:space="preserve">ait prévu de plafonner le </w:t>
      </w:r>
      <w:r w:rsidRPr="00A86354" w:rsidR="000807D5">
        <w:rPr>
          <w:rFonts w:cs="Arial"/>
          <w:lang w:val="fr-FR"/>
        </w:rPr>
        <w:t>« </w:t>
      </w:r>
      <w:r w:rsidRPr="00A86354" w:rsidR="00CA1D06">
        <w:rPr>
          <w:rFonts w:cs="Arial"/>
          <w:lang w:val="fr-FR"/>
        </w:rPr>
        <w:t>reste à charge</w:t>
      </w:r>
      <w:r w:rsidRPr="00A86354" w:rsidR="000807D5">
        <w:rPr>
          <w:rFonts w:cs="Arial"/>
          <w:lang w:val="fr-FR"/>
        </w:rPr>
        <w:t> »</w:t>
      </w:r>
      <w:r w:rsidRPr="00A86354" w:rsidR="00CA1D06">
        <w:rPr>
          <w:rFonts w:cs="Arial"/>
          <w:lang w:val="fr-FR"/>
        </w:rPr>
        <w:t xml:space="preserve"> pour les bénéficiaires à 10 % de leurs ressources,</w:t>
      </w:r>
      <w:r w:rsidRPr="00A86354" w:rsidR="00CA1D06">
        <w:rPr>
          <w:lang w:val="fr-FR"/>
        </w:rPr>
        <w:t xml:space="preserve"> </w:t>
      </w:r>
      <w:r w:rsidRPr="00A86354" w:rsidR="00CA1D06">
        <w:rPr>
          <w:rFonts w:cs="Arial"/>
          <w:lang w:val="fr-FR"/>
        </w:rPr>
        <w:t>les textes d</w:t>
      </w:r>
      <w:r w:rsidRPr="00A86354" w:rsidR="0006032C">
        <w:rPr>
          <w:rFonts w:cs="Arial"/>
          <w:lang w:val="fr-FR"/>
        </w:rPr>
        <w:t>’</w:t>
      </w:r>
      <w:r w:rsidRPr="00A86354" w:rsidR="00CA1D06">
        <w:rPr>
          <w:rFonts w:cs="Arial"/>
          <w:lang w:val="fr-FR"/>
        </w:rPr>
        <w:t>application n</w:t>
      </w:r>
      <w:r w:rsidRPr="00A86354" w:rsidR="0006032C">
        <w:rPr>
          <w:rFonts w:cs="Arial"/>
          <w:lang w:val="fr-FR"/>
        </w:rPr>
        <w:t>’</w:t>
      </w:r>
      <w:r w:rsidRPr="00A86354" w:rsidR="00CA1D06">
        <w:rPr>
          <w:rFonts w:cs="Arial"/>
          <w:lang w:val="fr-FR"/>
        </w:rPr>
        <w:t>ont jamais été publiés, de sorte que le plafonnement prévu par la loi est resté inopérant.</w:t>
      </w:r>
      <w:r w:rsidRPr="00A86354" w:rsidR="00650059">
        <w:rPr>
          <w:rFonts w:cs="Arial"/>
          <w:lang w:val="fr-FR"/>
        </w:rPr>
        <w:t xml:space="preserve">   </w:t>
      </w:r>
    </w:p>
    <w:p w:rsidRPr="00A86354" w:rsidR="00650059" w:rsidP="00650059" w:rsidRDefault="00650059" w14:paraId="3AD6084E" w14:textId="48A4B24E">
      <w:pPr>
        <w:pStyle w:val="ListParagraph"/>
        <w:ind w:left="360"/>
        <w:rPr>
          <w:rFonts w:cs="Arial"/>
          <w:lang w:val="fr-FR"/>
        </w:rPr>
      </w:pPr>
    </w:p>
    <w:p w:rsidRPr="00A86354" w:rsidR="00357187" w:rsidP="00CE016A" w:rsidRDefault="0040523D" w14:paraId="34F62449" w14:textId="62AE8BEF">
      <w:pPr>
        <w:pStyle w:val="ListParagraph"/>
        <w:numPr>
          <w:ilvl w:val="0"/>
          <w:numId w:val="1"/>
        </w:numPr>
        <w:ind w:left="0" w:firstLine="0"/>
        <w:rPr>
          <w:rFonts w:cs="Arial"/>
          <w:lang w:val="fr-FR"/>
        </w:rPr>
      </w:pPr>
      <w:r w:rsidRPr="00A86354">
        <w:rPr>
          <w:rFonts w:cs="Arial"/>
          <w:lang w:val="fr-FR"/>
        </w:rPr>
        <w:t>La Défenseure des droits</w:t>
      </w:r>
      <w:r w:rsidRPr="00A86354" w:rsidR="00CA1D06">
        <w:rPr>
          <w:rFonts w:cs="Arial"/>
          <w:lang w:val="fr-FR"/>
        </w:rPr>
        <w:t xml:space="preserve"> renvoie aux</w:t>
      </w:r>
      <w:r w:rsidRPr="00A86354" w:rsidR="00357187">
        <w:rPr>
          <w:rFonts w:cs="Arial"/>
          <w:lang w:val="fr-FR"/>
        </w:rPr>
        <w:t xml:space="preserve"> </w:t>
      </w:r>
      <w:r w:rsidRPr="00A86354" w:rsidR="000823D2">
        <w:rPr>
          <w:rFonts w:cs="Arial"/>
          <w:lang w:val="fr-FR"/>
        </w:rPr>
        <w:t>chiffres</w:t>
      </w:r>
      <w:r w:rsidRPr="00A86354" w:rsidR="00357187">
        <w:rPr>
          <w:rFonts w:cs="Arial"/>
          <w:lang w:val="fr-FR"/>
        </w:rPr>
        <w:t xml:space="preserve"> </w:t>
      </w:r>
      <w:r w:rsidRPr="00A86354" w:rsidR="000E39F9">
        <w:rPr>
          <w:rFonts w:cs="Arial"/>
          <w:lang w:val="fr-FR"/>
        </w:rPr>
        <w:t>publiés par la Direction de la recherche, des études, de l</w:t>
      </w:r>
      <w:r w:rsidRPr="00A86354" w:rsidR="0006032C">
        <w:rPr>
          <w:rFonts w:cs="Arial"/>
          <w:lang w:val="fr-FR"/>
        </w:rPr>
        <w:t>’</w:t>
      </w:r>
      <w:r w:rsidRPr="00A86354" w:rsidR="000E39F9">
        <w:rPr>
          <w:rFonts w:cs="Arial"/>
          <w:lang w:val="fr-FR"/>
        </w:rPr>
        <w:t>évaluation et des statistiques du ministère des Solidarités et de la Santé concernant les conditions de vie des personnes handicapées</w:t>
      </w:r>
      <w:r w:rsidRPr="00A86354" w:rsidR="00357187">
        <w:rPr>
          <w:rFonts w:cs="Arial"/>
          <w:lang w:val="fr-FR"/>
        </w:rPr>
        <w:t xml:space="preserve"> (</w:t>
      </w:r>
      <w:r w:rsidRPr="00A86354" w:rsidR="000E39F9">
        <w:rPr>
          <w:rFonts w:cs="Arial"/>
          <w:lang w:val="fr-FR"/>
        </w:rPr>
        <w:t xml:space="preserve">voir </w:t>
      </w:r>
      <w:r w:rsidRPr="00A86354" w:rsidR="004378B7">
        <w:rPr>
          <w:rFonts w:cs="Arial"/>
          <w:lang w:val="fr-FR"/>
        </w:rPr>
        <w:t xml:space="preserve">plus haut </w:t>
      </w:r>
      <w:r w:rsidR="008532B8">
        <w:rPr>
          <w:rFonts w:cs="Arial"/>
          <w:lang w:val="fr-FR"/>
        </w:rPr>
        <w:t>par.</w:t>
      </w:r>
      <w:r w:rsidRPr="00A86354" w:rsidR="004378B7">
        <w:rPr>
          <w:rFonts w:cs="Arial"/>
          <w:lang w:val="fr-FR"/>
        </w:rPr>
        <w:t> </w:t>
      </w:r>
      <w:r w:rsidRPr="00A86354" w:rsidR="00720F6A">
        <w:rPr>
          <w:rFonts w:cs="Arial"/>
          <w:lang w:val="fr-FR"/>
        </w:rPr>
        <w:t>3</w:t>
      </w:r>
      <w:r w:rsidRPr="00A86354" w:rsidR="00E03D7A">
        <w:rPr>
          <w:rFonts w:cs="Arial"/>
          <w:lang w:val="fr-FR"/>
        </w:rPr>
        <w:t>4</w:t>
      </w:r>
      <w:r w:rsidRPr="00A86354" w:rsidR="00357187">
        <w:rPr>
          <w:rFonts w:cs="Arial"/>
          <w:lang w:val="fr-FR"/>
        </w:rPr>
        <w:t xml:space="preserve">) </w:t>
      </w:r>
      <w:r w:rsidRPr="00A86354" w:rsidR="000E39F9">
        <w:rPr>
          <w:rFonts w:cs="Arial"/>
          <w:lang w:val="fr-FR"/>
        </w:rPr>
        <w:t>et considère que les personnes en situation de handicap sont particulièrement exposées au risque de précarité, en raison, notamment, d</w:t>
      </w:r>
      <w:r w:rsidRPr="00A86354" w:rsidR="0006032C">
        <w:rPr>
          <w:rFonts w:cs="Arial"/>
          <w:lang w:val="fr-FR"/>
        </w:rPr>
        <w:t>’</w:t>
      </w:r>
      <w:r w:rsidRPr="00A86354" w:rsidR="000E39F9">
        <w:rPr>
          <w:rFonts w:cs="Arial"/>
          <w:lang w:val="fr-FR"/>
        </w:rPr>
        <w:t>importantes difficultés d</w:t>
      </w:r>
      <w:r w:rsidRPr="00A86354" w:rsidR="0006032C">
        <w:rPr>
          <w:rFonts w:cs="Arial"/>
          <w:lang w:val="fr-FR"/>
        </w:rPr>
        <w:t>’</w:t>
      </w:r>
      <w:r w:rsidRPr="00A86354" w:rsidR="000E39F9">
        <w:rPr>
          <w:rFonts w:cs="Arial"/>
          <w:lang w:val="fr-FR"/>
        </w:rPr>
        <w:t>accès à l</w:t>
      </w:r>
      <w:r w:rsidRPr="00A86354" w:rsidR="0006032C">
        <w:rPr>
          <w:rFonts w:cs="Arial"/>
          <w:lang w:val="fr-FR"/>
        </w:rPr>
        <w:t>’</w:t>
      </w:r>
      <w:r w:rsidRPr="00A86354" w:rsidR="000E39F9">
        <w:rPr>
          <w:rFonts w:cs="Arial"/>
          <w:lang w:val="fr-FR"/>
        </w:rPr>
        <w:t>emploi.</w:t>
      </w:r>
    </w:p>
    <w:p w:rsidRPr="00A86354" w:rsidR="00357187" w:rsidP="00CE016A" w:rsidRDefault="0040523D" w14:paraId="23522F73" w14:textId="4E7EE292">
      <w:pPr>
        <w:pStyle w:val="ListParagraph"/>
        <w:numPr>
          <w:ilvl w:val="0"/>
          <w:numId w:val="1"/>
        </w:numPr>
        <w:ind w:left="0" w:firstLine="0"/>
        <w:rPr>
          <w:rFonts w:cs="Arial"/>
          <w:lang w:val="fr-FR"/>
        </w:rPr>
      </w:pPr>
      <w:r w:rsidRPr="00A86354">
        <w:rPr>
          <w:rFonts w:cs="Arial"/>
          <w:lang w:val="fr-FR"/>
        </w:rPr>
        <w:lastRenderedPageBreak/>
        <w:t>La Défenseure des droits</w:t>
      </w:r>
      <w:r w:rsidRPr="00A86354" w:rsidR="000E39F9">
        <w:rPr>
          <w:rFonts w:cs="Arial"/>
          <w:lang w:val="fr-FR"/>
        </w:rPr>
        <w:t xml:space="preserve"> explique qu</w:t>
      </w:r>
      <w:r w:rsidRPr="00A86354" w:rsidR="0006032C">
        <w:rPr>
          <w:rFonts w:cs="Arial"/>
          <w:lang w:val="fr-FR"/>
        </w:rPr>
        <w:t>’</w:t>
      </w:r>
      <w:r w:rsidRPr="00A86354" w:rsidR="000E39F9">
        <w:rPr>
          <w:lang w:val="fr-FR"/>
        </w:rPr>
        <w:t>a</w:t>
      </w:r>
      <w:r w:rsidRPr="00A86354" w:rsidR="000E39F9">
        <w:rPr>
          <w:rFonts w:cs="Arial"/>
          <w:lang w:val="fr-FR"/>
        </w:rPr>
        <w:t xml:space="preserve">fin de répondre aux constats préoccupants concernant le niveau de vie des personnes handicapées, le </w:t>
      </w:r>
      <w:r w:rsidRPr="00A86354" w:rsidR="00AE34AC">
        <w:rPr>
          <w:rFonts w:cs="Arial"/>
          <w:lang w:val="fr-FR"/>
        </w:rPr>
        <w:t>Gouvernement</w:t>
      </w:r>
      <w:r w:rsidRPr="00A86354" w:rsidR="000E39F9">
        <w:rPr>
          <w:rFonts w:cs="Arial"/>
          <w:lang w:val="fr-FR"/>
        </w:rPr>
        <w:t xml:space="preserve"> a décidé de procéder à une revalorisation exceptionnelle de l</w:t>
      </w:r>
      <w:r w:rsidRPr="00A86354" w:rsidR="0006032C">
        <w:rPr>
          <w:rFonts w:cs="Arial"/>
          <w:lang w:val="fr-FR"/>
        </w:rPr>
        <w:t>’</w:t>
      </w:r>
      <w:r w:rsidRPr="00A86354" w:rsidR="000E39F9">
        <w:rPr>
          <w:rFonts w:cs="Arial"/>
          <w:lang w:val="fr-FR"/>
        </w:rPr>
        <w:t>allocation aux adultes handicapés (AAH), au-delà de l</w:t>
      </w:r>
      <w:r w:rsidRPr="00A86354" w:rsidR="0006032C">
        <w:rPr>
          <w:rFonts w:cs="Arial"/>
          <w:lang w:val="fr-FR"/>
        </w:rPr>
        <w:t>’</w:t>
      </w:r>
      <w:r w:rsidRPr="00A86354" w:rsidR="000E39F9">
        <w:rPr>
          <w:rFonts w:cs="Arial"/>
          <w:lang w:val="fr-FR"/>
        </w:rPr>
        <w:t>augmentation classique</w:t>
      </w:r>
      <w:r w:rsidRPr="00A86354" w:rsidR="000807D5">
        <w:rPr>
          <w:rFonts w:cs="Arial"/>
          <w:lang w:val="fr-FR"/>
        </w:rPr>
        <w:t> :</w:t>
      </w:r>
      <w:r w:rsidRPr="00A86354" w:rsidR="000E39F9">
        <w:rPr>
          <w:rFonts w:cs="Arial"/>
          <w:lang w:val="fr-FR"/>
        </w:rPr>
        <w:t xml:space="preserve"> au 1</w:t>
      </w:r>
      <w:r w:rsidRPr="00A86354" w:rsidR="000E39F9">
        <w:rPr>
          <w:rFonts w:cs="Arial"/>
          <w:vertAlign w:val="superscript"/>
          <w:lang w:val="fr-FR"/>
        </w:rPr>
        <w:t>er</w:t>
      </w:r>
      <w:r w:rsidRPr="00A86354" w:rsidR="00CC45E8">
        <w:rPr>
          <w:rFonts w:cs="Arial"/>
          <w:lang w:val="fr-FR"/>
        </w:rPr>
        <w:t> </w:t>
      </w:r>
      <w:r w:rsidRPr="00A86354" w:rsidR="000E39F9">
        <w:rPr>
          <w:rFonts w:cs="Arial"/>
          <w:lang w:val="fr-FR"/>
        </w:rPr>
        <w:t xml:space="preserve">novembre 2019, il a été porté à 900 </w:t>
      </w:r>
      <w:r w:rsidRPr="00A86354" w:rsidR="00E245AA">
        <w:rPr>
          <w:rFonts w:cs="Arial"/>
          <w:lang w:val="fr-FR"/>
        </w:rPr>
        <w:t>EUR</w:t>
      </w:r>
      <w:r w:rsidRPr="00A86354" w:rsidR="000E39F9">
        <w:rPr>
          <w:rFonts w:cs="Arial"/>
          <w:lang w:val="fr-FR"/>
        </w:rPr>
        <w:t>. Cela reste toutefois insuffisant pour permettre aux bénéficiaires de l</w:t>
      </w:r>
      <w:r w:rsidRPr="00A86354" w:rsidR="0006032C">
        <w:rPr>
          <w:rFonts w:cs="Arial"/>
          <w:lang w:val="fr-FR"/>
        </w:rPr>
        <w:t>’</w:t>
      </w:r>
      <w:r w:rsidRPr="00A86354" w:rsidR="000E39F9">
        <w:rPr>
          <w:rFonts w:cs="Arial"/>
          <w:lang w:val="fr-FR"/>
        </w:rPr>
        <w:t>AAH de franchir le seuil de pauvreté (estimé à 1</w:t>
      </w:r>
      <w:r w:rsidRPr="00A86354" w:rsidR="00CC45E8">
        <w:rPr>
          <w:rFonts w:cs="Arial"/>
          <w:lang w:val="fr-FR"/>
        </w:rPr>
        <w:t> </w:t>
      </w:r>
      <w:r w:rsidRPr="00A86354" w:rsidR="000E39F9">
        <w:rPr>
          <w:rFonts w:cs="Arial"/>
          <w:lang w:val="fr-FR"/>
        </w:rPr>
        <w:t>026</w:t>
      </w:r>
      <w:r w:rsidRPr="00A86354" w:rsidR="00CC45E8">
        <w:rPr>
          <w:rFonts w:cs="Arial"/>
          <w:lang w:val="fr-FR"/>
        </w:rPr>
        <w:t> EUR</w:t>
      </w:r>
      <w:r w:rsidRPr="00A86354" w:rsidR="000E39F9">
        <w:rPr>
          <w:rFonts w:cs="Arial"/>
          <w:lang w:val="fr-FR"/>
        </w:rPr>
        <w:t xml:space="preserve"> par mois</w:t>
      </w:r>
      <w:r w:rsidRPr="00A86354" w:rsidR="00357187">
        <w:rPr>
          <w:rFonts w:cs="Arial"/>
          <w:lang w:val="fr-FR"/>
        </w:rPr>
        <w:t xml:space="preserve">). </w:t>
      </w:r>
    </w:p>
    <w:p w:rsidRPr="00A86354" w:rsidR="00357187" w:rsidP="00A86354" w:rsidRDefault="00357187" w14:paraId="22F3253F" w14:textId="77777777">
      <w:pPr>
        <w:pStyle w:val="ListParagraph"/>
        <w:rPr>
          <w:rFonts w:cs="Arial"/>
          <w:lang w:val="fr-FR"/>
        </w:rPr>
      </w:pPr>
    </w:p>
    <w:p w:rsidRPr="00A86354" w:rsidR="00357187" w:rsidP="00CE016A" w:rsidRDefault="00420B76" w14:paraId="64E8ACE3" w14:textId="5AF4592E">
      <w:pPr>
        <w:pStyle w:val="ListParagraph"/>
        <w:numPr>
          <w:ilvl w:val="0"/>
          <w:numId w:val="1"/>
        </w:numPr>
        <w:ind w:left="0" w:firstLine="0"/>
        <w:rPr>
          <w:rFonts w:cs="Arial"/>
          <w:lang w:val="fr-FR"/>
        </w:rPr>
      </w:pPr>
      <w:r w:rsidRPr="00A86354">
        <w:rPr>
          <w:rFonts w:cs="Arial"/>
          <w:lang w:val="fr-FR"/>
        </w:rPr>
        <w:t>De plus, lorsque le bénéficiaire de l</w:t>
      </w:r>
      <w:r w:rsidRPr="00A86354" w:rsidR="0006032C">
        <w:rPr>
          <w:rFonts w:cs="Arial"/>
          <w:lang w:val="fr-FR"/>
        </w:rPr>
        <w:t>’</w:t>
      </w:r>
      <w:r w:rsidRPr="00A86354">
        <w:rPr>
          <w:rFonts w:cs="Arial"/>
          <w:lang w:val="fr-FR"/>
        </w:rPr>
        <w:t>AAH est marié, vit en concubinage ou est lié par un pacte civil de solidarité (Pacs), les ressources de son conjoint sont prises en compte pour le calcul de l</w:t>
      </w:r>
      <w:r w:rsidRPr="00A86354" w:rsidR="0006032C">
        <w:rPr>
          <w:rFonts w:cs="Arial"/>
          <w:lang w:val="fr-FR"/>
        </w:rPr>
        <w:t>’</w:t>
      </w:r>
      <w:r w:rsidRPr="00A86354">
        <w:rPr>
          <w:rFonts w:cs="Arial"/>
          <w:lang w:val="fr-FR"/>
        </w:rPr>
        <w:t>allocation, l</w:t>
      </w:r>
      <w:r w:rsidRPr="00A86354" w:rsidR="0006032C">
        <w:rPr>
          <w:rFonts w:cs="Arial"/>
          <w:lang w:val="fr-FR"/>
        </w:rPr>
        <w:t>’</w:t>
      </w:r>
      <w:r w:rsidRPr="00A86354">
        <w:rPr>
          <w:rFonts w:cs="Arial"/>
          <w:lang w:val="fr-FR"/>
        </w:rPr>
        <w:t>ensemble des ressources du foyer ne devant pas dépasser un certain plafond. Au-delà, l</w:t>
      </w:r>
      <w:r w:rsidRPr="00A86354" w:rsidR="0006032C">
        <w:rPr>
          <w:rFonts w:cs="Arial"/>
          <w:lang w:val="fr-FR"/>
        </w:rPr>
        <w:t>’</w:t>
      </w:r>
      <w:r w:rsidRPr="00A86354">
        <w:rPr>
          <w:rFonts w:cs="Arial"/>
          <w:lang w:val="fr-FR"/>
        </w:rPr>
        <w:t>AAH n</w:t>
      </w:r>
      <w:r w:rsidRPr="00A86354" w:rsidR="0006032C">
        <w:rPr>
          <w:rFonts w:cs="Arial"/>
          <w:lang w:val="fr-FR"/>
        </w:rPr>
        <w:t>’</w:t>
      </w:r>
      <w:r w:rsidRPr="00A86354">
        <w:rPr>
          <w:rFonts w:cs="Arial"/>
          <w:lang w:val="fr-FR"/>
        </w:rPr>
        <w:t>est plus versée. La Défenseure des droits considère que la prise en compte des ressources du conjoint aboutit à des situations intolérables de dépendance financière pour les personnes concernées.</w:t>
      </w:r>
      <w:r w:rsidRPr="00A86354" w:rsidR="00357187">
        <w:rPr>
          <w:rFonts w:cs="Arial"/>
          <w:lang w:val="fr-FR"/>
        </w:rPr>
        <w:t xml:space="preserve"> </w:t>
      </w:r>
      <w:r w:rsidRPr="00A86354" w:rsidR="00806ACF">
        <w:rPr>
          <w:rFonts w:cs="Arial"/>
          <w:lang w:val="fr-FR"/>
        </w:rPr>
        <w:t>Elle</w:t>
      </w:r>
      <w:r w:rsidRPr="00A86354" w:rsidR="00357187">
        <w:rPr>
          <w:rFonts w:cs="Arial"/>
          <w:lang w:val="fr-FR"/>
        </w:rPr>
        <w:t xml:space="preserve"> observe</w:t>
      </w:r>
      <w:r w:rsidRPr="00A86354" w:rsidR="00806ACF">
        <w:rPr>
          <w:rFonts w:cs="Arial"/>
          <w:lang w:val="fr-FR"/>
        </w:rPr>
        <w:t xml:space="preserve"> notamment que la</w:t>
      </w:r>
      <w:r w:rsidRPr="00A86354" w:rsidR="00357187">
        <w:rPr>
          <w:rFonts w:cs="Arial"/>
          <w:lang w:val="fr-FR"/>
        </w:rPr>
        <w:t xml:space="preserve"> </w:t>
      </w:r>
      <w:r w:rsidRPr="00A86354" w:rsidR="00806ACF">
        <w:rPr>
          <w:rFonts w:cs="Arial"/>
          <w:lang w:val="fr-FR"/>
        </w:rPr>
        <w:t>législation</w:t>
      </w:r>
      <w:r w:rsidRPr="00A86354" w:rsidR="00357187">
        <w:rPr>
          <w:rFonts w:cs="Arial"/>
          <w:lang w:val="fr-FR"/>
        </w:rPr>
        <w:t xml:space="preserve"> </w:t>
      </w:r>
      <w:r w:rsidRPr="00A86354" w:rsidR="00806ACF">
        <w:rPr>
          <w:rFonts w:cs="Arial"/>
          <w:lang w:val="fr-FR"/>
        </w:rPr>
        <w:t xml:space="preserve">a été modifiée afin de réduire le plafond de ressources applicable aux couples à compter </w:t>
      </w:r>
      <w:r w:rsidRPr="00A86354" w:rsidR="004514D4">
        <w:rPr>
          <w:rFonts w:cs="Arial"/>
          <w:lang w:val="fr-FR"/>
        </w:rPr>
        <w:t>de</w:t>
      </w:r>
      <w:r w:rsidRPr="00A86354" w:rsidR="00806ACF">
        <w:rPr>
          <w:rFonts w:cs="Arial"/>
          <w:lang w:val="fr-FR"/>
        </w:rPr>
        <w:t xml:space="preserve"> novembre 2019, ce qui a exclu </w:t>
      </w:r>
      <w:r w:rsidRPr="00A86354" w:rsidR="00806ACF">
        <w:rPr>
          <w:rFonts w:cs="Arial"/>
          <w:i/>
          <w:iCs/>
          <w:lang w:val="fr-FR"/>
        </w:rPr>
        <w:t>de facto</w:t>
      </w:r>
      <w:r w:rsidRPr="00A86354" w:rsidR="00806ACF">
        <w:rPr>
          <w:rFonts w:cs="Arial"/>
          <w:lang w:val="fr-FR"/>
        </w:rPr>
        <w:t xml:space="preserve"> les bénéficiaires en couple des effets de cette revalorisation exceptionnelle de l</w:t>
      </w:r>
      <w:r w:rsidRPr="00A86354" w:rsidR="0006032C">
        <w:rPr>
          <w:rFonts w:cs="Arial"/>
          <w:lang w:val="fr-FR"/>
        </w:rPr>
        <w:t>’</w:t>
      </w:r>
      <w:r w:rsidRPr="00A86354" w:rsidR="00806ACF">
        <w:rPr>
          <w:rFonts w:cs="Arial"/>
          <w:lang w:val="fr-FR"/>
        </w:rPr>
        <w:t>AAH et a eu pour effet de renforcer la dépendance financière des personnes handicapées à l</w:t>
      </w:r>
      <w:r w:rsidRPr="00A86354" w:rsidR="0006032C">
        <w:rPr>
          <w:rFonts w:cs="Arial"/>
          <w:lang w:val="fr-FR"/>
        </w:rPr>
        <w:t>’</w:t>
      </w:r>
      <w:r w:rsidRPr="00A86354" w:rsidR="00806ACF">
        <w:rPr>
          <w:rFonts w:cs="Arial"/>
          <w:lang w:val="fr-FR"/>
        </w:rPr>
        <w:t>égard de leur conjoint</w:t>
      </w:r>
      <w:r w:rsidRPr="00A86354" w:rsidR="00357187">
        <w:rPr>
          <w:rFonts w:cs="Arial"/>
          <w:lang w:val="fr-FR"/>
        </w:rPr>
        <w:t>.</w:t>
      </w:r>
    </w:p>
    <w:p w:rsidRPr="00A86354" w:rsidR="00357187" w:rsidP="00357187" w:rsidRDefault="00357187" w14:paraId="4D3D79D9" w14:textId="77777777">
      <w:pPr>
        <w:rPr>
          <w:rFonts w:ascii="Arial" w:hAnsi="Arial" w:cs="Arial"/>
          <w:lang w:val="fr-FR"/>
        </w:rPr>
      </w:pPr>
    </w:p>
    <w:p w:rsidRPr="00A86354" w:rsidR="00F71E3F" w:rsidP="00CE016A" w:rsidRDefault="0040523D" w14:paraId="624C08D6" w14:textId="496CC703">
      <w:pPr>
        <w:pStyle w:val="ListParagraph"/>
        <w:numPr>
          <w:ilvl w:val="0"/>
          <w:numId w:val="1"/>
        </w:numPr>
        <w:ind w:left="0" w:firstLine="0"/>
        <w:rPr>
          <w:rFonts w:cs="Arial"/>
          <w:lang w:val="fr-FR"/>
        </w:rPr>
      </w:pPr>
      <w:r w:rsidRPr="00A86354">
        <w:rPr>
          <w:rFonts w:cs="Arial"/>
          <w:lang w:val="fr-FR"/>
        </w:rPr>
        <w:t>La Défenseure des droits</w:t>
      </w:r>
      <w:r w:rsidRPr="00A86354" w:rsidR="002C2842">
        <w:rPr>
          <w:rFonts w:cs="Arial"/>
          <w:lang w:val="fr-FR"/>
        </w:rPr>
        <w:t xml:space="preserve"> </w:t>
      </w:r>
      <w:r w:rsidRPr="00A86354" w:rsidR="00806ACF">
        <w:rPr>
          <w:rFonts w:cs="Arial"/>
          <w:lang w:val="fr-FR"/>
        </w:rPr>
        <w:t>ajoute que</w:t>
      </w:r>
      <w:r w:rsidRPr="00A86354" w:rsidR="00934C2C">
        <w:rPr>
          <w:rFonts w:cs="Arial"/>
          <w:lang w:val="fr-FR"/>
        </w:rPr>
        <w:t xml:space="preserve"> les personnes atteintes d</w:t>
      </w:r>
      <w:r w:rsidRPr="00A86354" w:rsidR="0006032C">
        <w:rPr>
          <w:rFonts w:cs="Arial"/>
          <w:lang w:val="fr-FR"/>
        </w:rPr>
        <w:t>’</w:t>
      </w:r>
      <w:r w:rsidRPr="00A86354" w:rsidR="00934C2C">
        <w:rPr>
          <w:rFonts w:cs="Arial"/>
          <w:lang w:val="fr-FR"/>
        </w:rPr>
        <w:t>une incapacité inférieure à 80 % qui accèdent à une activité professionnelle au-delà d</w:t>
      </w:r>
      <w:r w:rsidRPr="00A86354" w:rsidR="0006032C">
        <w:rPr>
          <w:rFonts w:cs="Arial"/>
          <w:lang w:val="fr-FR"/>
        </w:rPr>
        <w:t>’</w:t>
      </w:r>
      <w:r w:rsidRPr="00A86354" w:rsidR="00934C2C">
        <w:rPr>
          <w:rFonts w:cs="Arial"/>
          <w:lang w:val="fr-FR"/>
        </w:rPr>
        <w:t>un mi-temps voient leur droit à l</w:t>
      </w:r>
      <w:r w:rsidRPr="00A86354" w:rsidR="0006032C">
        <w:rPr>
          <w:rFonts w:cs="Arial"/>
          <w:lang w:val="fr-FR"/>
        </w:rPr>
        <w:t>’</w:t>
      </w:r>
      <w:r w:rsidRPr="00A86354" w:rsidR="00934C2C">
        <w:rPr>
          <w:rFonts w:cs="Arial"/>
          <w:lang w:val="fr-FR"/>
        </w:rPr>
        <w:t>AAH supprimé au motif qu</w:t>
      </w:r>
      <w:r w:rsidRPr="00A86354" w:rsidR="0006032C">
        <w:rPr>
          <w:rFonts w:cs="Arial"/>
          <w:lang w:val="fr-FR"/>
        </w:rPr>
        <w:t>’</w:t>
      </w:r>
      <w:r w:rsidRPr="00A86354" w:rsidR="00934C2C">
        <w:rPr>
          <w:rFonts w:cs="Arial"/>
          <w:lang w:val="fr-FR"/>
        </w:rPr>
        <w:t xml:space="preserve">elles ne remplissent plus les conditions </w:t>
      </w:r>
      <w:r w:rsidRPr="00A86354" w:rsidR="000807D5">
        <w:rPr>
          <w:rFonts w:cs="Arial"/>
          <w:lang w:val="fr-FR"/>
        </w:rPr>
        <w:t>« </w:t>
      </w:r>
      <w:r w:rsidRPr="00A86354" w:rsidR="00934C2C">
        <w:rPr>
          <w:rFonts w:cs="Arial"/>
          <w:lang w:val="fr-FR"/>
        </w:rPr>
        <w:t>de restriction substantielle et durable d</w:t>
      </w:r>
      <w:r w:rsidRPr="00A86354" w:rsidR="0006032C">
        <w:rPr>
          <w:rFonts w:cs="Arial"/>
          <w:lang w:val="fr-FR"/>
        </w:rPr>
        <w:t>’</w:t>
      </w:r>
      <w:r w:rsidRPr="00A86354" w:rsidR="00934C2C">
        <w:rPr>
          <w:rFonts w:cs="Arial"/>
          <w:lang w:val="fr-FR"/>
        </w:rPr>
        <w:t>accès à l</w:t>
      </w:r>
      <w:r w:rsidRPr="00A86354" w:rsidR="0006032C">
        <w:rPr>
          <w:rFonts w:cs="Arial"/>
          <w:lang w:val="fr-FR"/>
        </w:rPr>
        <w:t>’</w:t>
      </w:r>
      <w:r w:rsidRPr="00A86354" w:rsidR="00934C2C">
        <w:rPr>
          <w:rFonts w:cs="Arial"/>
          <w:lang w:val="fr-FR"/>
        </w:rPr>
        <w:t>emploi</w:t>
      </w:r>
      <w:r w:rsidRPr="00A86354" w:rsidR="000807D5">
        <w:rPr>
          <w:rFonts w:cs="Arial"/>
          <w:lang w:val="fr-FR"/>
        </w:rPr>
        <w:t> »</w:t>
      </w:r>
      <w:r w:rsidRPr="00A86354" w:rsidR="00934C2C">
        <w:rPr>
          <w:rFonts w:cs="Arial"/>
          <w:lang w:val="fr-FR"/>
        </w:rPr>
        <w:t xml:space="preserve"> et se trouvent de ce fait pénalisées dans leur démarche d</w:t>
      </w:r>
      <w:r w:rsidRPr="00A86354" w:rsidR="0006032C">
        <w:rPr>
          <w:rFonts w:cs="Arial"/>
          <w:lang w:val="fr-FR"/>
        </w:rPr>
        <w:t>’</w:t>
      </w:r>
      <w:r w:rsidRPr="00A86354" w:rsidR="00934C2C">
        <w:rPr>
          <w:rFonts w:cs="Arial"/>
          <w:lang w:val="fr-FR"/>
        </w:rPr>
        <w:t>insertion professionnelle.</w:t>
      </w:r>
      <w:r w:rsidRPr="00A86354" w:rsidR="00806ACF">
        <w:rPr>
          <w:rFonts w:cs="Arial"/>
          <w:lang w:val="fr-FR"/>
        </w:rPr>
        <w:t xml:space="preserve"> </w:t>
      </w:r>
      <w:r w:rsidRPr="00A86354" w:rsidR="00934C2C">
        <w:rPr>
          <w:rFonts w:cs="Arial"/>
          <w:lang w:val="fr-FR"/>
        </w:rPr>
        <w:t>À cet égard</w:t>
      </w:r>
      <w:r w:rsidRPr="00A86354" w:rsidR="00F71E3F">
        <w:rPr>
          <w:rFonts w:cs="Arial"/>
          <w:lang w:val="fr-FR"/>
        </w:rPr>
        <w:t xml:space="preserve">, </w:t>
      </w:r>
      <w:r w:rsidRPr="00A86354" w:rsidR="00F90F07">
        <w:rPr>
          <w:rFonts w:cs="Arial"/>
          <w:lang w:val="fr-FR"/>
        </w:rPr>
        <w:t xml:space="preserve">elle </w:t>
      </w:r>
      <w:r w:rsidRPr="00A86354" w:rsidR="00806ACF">
        <w:rPr>
          <w:rFonts w:cs="Arial"/>
          <w:lang w:val="fr-FR"/>
        </w:rPr>
        <w:t>attire l</w:t>
      </w:r>
      <w:r w:rsidRPr="00A86354" w:rsidR="0006032C">
        <w:rPr>
          <w:rFonts w:cs="Arial"/>
          <w:lang w:val="fr-FR"/>
        </w:rPr>
        <w:t>’</w:t>
      </w:r>
      <w:r w:rsidRPr="00A86354" w:rsidR="00F71E3F">
        <w:rPr>
          <w:rFonts w:cs="Arial"/>
          <w:lang w:val="fr-FR"/>
        </w:rPr>
        <w:t xml:space="preserve">attention </w:t>
      </w:r>
      <w:r w:rsidRPr="00A86354" w:rsidR="00806ACF">
        <w:rPr>
          <w:rFonts w:cs="Arial"/>
          <w:lang w:val="fr-FR"/>
        </w:rPr>
        <w:t xml:space="preserve">du Comité sur les </w:t>
      </w:r>
      <w:r w:rsidRPr="00A86354" w:rsidR="00934C2C">
        <w:rPr>
          <w:rFonts w:cs="Arial"/>
          <w:lang w:val="fr-FR"/>
        </w:rPr>
        <w:t>difficultés</w:t>
      </w:r>
      <w:r w:rsidRPr="00A86354" w:rsidR="00F71E3F">
        <w:rPr>
          <w:rFonts w:cs="Arial"/>
          <w:lang w:val="fr-FR"/>
        </w:rPr>
        <w:t xml:space="preserve"> </w:t>
      </w:r>
      <w:r w:rsidRPr="00A86354" w:rsidR="00934C2C">
        <w:rPr>
          <w:rFonts w:cs="Arial"/>
          <w:lang w:val="fr-FR"/>
        </w:rPr>
        <w:t>rencontrées par les personnes handicapées pour accéder au marché du travail</w:t>
      </w:r>
      <w:r w:rsidRPr="00A86354" w:rsidR="004514D4">
        <w:rPr>
          <w:rFonts w:cs="Arial"/>
          <w:lang w:val="fr-FR"/>
        </w:rPr>
        <w:t xml:space="preserve">. </w:t>
      </w:r>
    </w:p>
    <w:p w:rsidRPr="00A86354" w:rsidR="00B42386" w:rsidP="00F71E3F" w:rsidRDefault="00B42386" w14:paraId="439F3B48" w14:textId="78D74908">
      <w:pPr>
        <w:rPr>
          <w:rFonts w:ascii="Arial" w:hAnsi="Arial" w:cs="Arial"/>
          <w:lang w:val="fr-FR"/>
        </w:rPr>
      </w:pPr>
    </w:p>
    <w:p w:rsidRPr="00A86354" w:rsidR="00B42386" w:rsidP="00B42386" w:rsidRDefault="00B42386" w14:paraId="7619A06E" w14:textId="2627EE11">
      <w:pPr>
        <w:pStyle w:val="ListParagraph"/>
        <w:ind w:left="360" w:hanging="360"/>
        <w:rPr>
          <w:rFonts w:cs="Arial"/>
          <w:i/>
          <w:iCs/>
          <w:lang w:val="fr-FR"/>
        </w:rPr>
      </w:pPr>
      <w:r w:rsidRPr="00A86354">
        <w:rPr>
          <w:rFonts w:cs="Arial"/>
          <w:i/>
          <w:iCs/>
          <w:lang w:val="fr-FR"/>
        </w:rPr>
        <w:t xml:space="preserve">Impact </w:t>
      </w:r>
      <w:r w:rsidRPr="00A86354" w:rsidR="00934C2C">
        <w:rPr>
          <w:rFonts w:cs="Arial"/>
          <w:i/>
          <w:iCs/>
          <w:lang w:val="fr-FR"/>
        </w:rPr>
        <w:t>sur les</w:t>
      </w:r>
      <w:r w:rsidRPr="00A86354">
        <w:rPr>
          <w:rFonts w:cs="Arial"/>
          <w:i/>
          <w:iCs/>
          <w:lang w:val="fr-FR"/>
        </w:rPr>
        <w:t xml:space="preserve"> </w:t>
      </w:r>
      <w:r w:rsidRPr="00A86354" w:rsidR="00934C2C">
        <w:rPr>
          <w:rFonts w:cs="Arial"/>
          <w:i/>
          <w:iCs/>
          <w:lang w:val="fr-FR"/>
        </w:rPr>
        <w:t>familles</w:t>
      </w:r>
    </w:p>
    <w:p w:rsidRPr="00A86354" w:rsidR="00B42386" w:rsidP="00A86354" w:rsidRDefault="00B42386" w14:paraId="56EEF15A" w14:textId="77777777">
      <w:pPr>
        <w:pStyle w:val="ListParagraph"/>
        <w:rPr>
          <w:rFonts w:cs="Arial"/>
          <w:lang w:val="fr-FR"/>
        </w:rPr>
      </w:pPr>
    </w:p>
    <w:p w:rsidRPr="00A86354" w:rsidR="001548CB" w:rsidP="00CE016A" w:rsidRDefault="0040523D" w14:paraId="31C93D39" w14:textId="0EACC83F">
      <w:pPr>
        <w:pStyle w:val="ListParagraph"/>
        <w:numPr>
          <w:ilvl w:val="0"/>
          <w:numId w:val="1"/>
        </w:numPr>
        <w:ind w:left="0" w:firstLine="0"/>
        <w:rPr>
          <w:rFonts w:cs="Arial"/>
          <w:lang w:val="fr-FR"/>
        </w:rPr>
      </w:pPr>
      <w:r w:rsidRPr="00A86354">
        <w:rPr>
          <w:rFonts w:cs="Arial"/>
          <w:lang w:val="fr-FR"/>
        </w:rPr>
        <w:t>La Défenseure des droits</w:t>
      </w:r>
      <w:r w:rsidRPr="00A86354" w:rsidR="00934C2C">
        <w:rPr>
          <w:rFonts w:cs="Arial"/>
          <w:lang w:val="fr-FR"/>
        </w:rPr>
        <w:t xml:space="preserve"> </w:t>
      </w:r>
      <w:r w:rsidRPr="00A86354" w:rsidR="005E781A">
        <w:rPr>
          <w:rFonts w:cs="Arial"/>
          <w:lang w:val="fr-FR"/>
        </w:rPr>
        <w:t xml:space="preserve">renvoie à une enquête, réalisée par la mission nationale </w:t>
      </w:r>
      <w:r w:rsidRPr="00A86354" w:rsidR="000807D5">
        <w:rPr>
          <w:rFonts w:cs="Arial"/>
          <w:lang w:val="fr-FR"/>
        </w:rPr>
        <w:t>« </w:t>
      </w:r>
      <w:r w:rsidRPr="00A86354" w:rsidR="005E781A">
        <w:rPr>
          <w:rFonts w:cs="Arial"/>
          <w:lang w:val="fr-FR"/>
        </w:rPr>
        <w:t>Accueils de loisirs et handicap</w:t>
      </w:r>
      <w:r w:rsidRPr="00A86354" w:rsidR="000807D5">
        <w:rPr>
          <w:rFonts w:cs="Arial"/>
          <w:lang w:val="fr-FR"/>
        </w:rPr>
        <w:t> »</w:t>
      </w:r>
      <w:r w:rsidRPr="00A86354" w:rsidR="005E781A">
        <w:rPr>
          <w:rFonts w:cs="Arial"/>
          <w:lang w:val="fr-FR"/>
        </w:rPr>
        <w:t xml:space="preserve"> en 2018, qui révèle que 88 % des parents sont impactés dans leur emploi faute de mesures adaptées/</w:t>
      </w:r>
      <w:r w:rsidRPr="00A86354" w:rsidR="00D87C80">
        <w:rPr>
          <w:rFonts w:cs="Arial"/>
          <w:lang w:val="fr-FR"/>
        </w:rPr>
        <w:t>de réponse aux besoins des personnes handicapées. P</w:t>
      </w:r>
      <w:r w:rsidRPr="00A86354" w:rsidR="005E781A">
        <w:rPr>
          <w:rFonts w:cs="Arial"/>
          <w:lang w:val="fr-FR"/>
        </w:rPr>
        <w:t xml:space="preserve">armi </w:t>
      </w:r>
      <w:r w:rsidRPr="00A86354" w:rsidR="00D87C80">
        <w:rPr>
          <w:rFonts w:cs="Arial"/>
          <w:lang w:val="fr-FR"/>
        </w:rPr>
        <w:t>eux,</w:t>
      </w:r>
      <w:r w:rsidRPr="00A86354" w:rsidR="005E781A">
        <w:rPr>
          <w:rFonts w:cs="Arial"/>
          <w:lang w:val="fr-FR"/>
        </w:rPr>
        <w:t xml:space="preserve"> 81 % des mères (contre 16% des pères) cessent toute activité, réduisent leur temps de travail ou changent d</w:t>
      </w:r>
      <w:r w:rsidRPr="00A86354" w:rsidR="0006032C">
        <w:rPr>
          <w:rFonts w:cs="Arial"/>
          <w:lang w:val="fr-FR"/>
        </w:rPr>
        <w:t>’</w:t>
      </w:r>
      <w:r w:rsidRPr="00A86354" w:rsidR="005E781A">
        <w:rPr>
          <w:rFonts w:cs="Arial"/>
          <w:lang w:val="fr-FR"/>
        </w:rPr>
        <w:t>orientation professionnelle.</w:t>
      </w:r>
      <w:r w:rsidRPr="00A86354" w:rsidR="005B6ABF">
        <w:rPr>
          <w:rFonts w:cs="Arial"/>
          <w:lang w:val="fr-FR"/>
        </w:rPr>
        <w:t xml:space="preserve">  </w:t>
      </w:r>
    </w:p>
    <w:p w:rsidRPr="00A86354" w:rsidR="001548CB" w:rsidP="001548CB" w:rsidRDefault="001548CB" w14:paraId="5AB6B319" w14:textId="77777777">
      <w:pPr>
        <w:pStyle w:val="ListParagraph"/>
        <w:rPr>
          <w:rFonts w:cs="Arial"/>
          <w:lang w:val="fr-FR"/>
        </w:rPr>
      </w:pPr>
    </w:p>
    <w:p w:rsidRPr="00A86354" w:rsidR="006937B6" w:rsidP="00CE016A" w:rsidRDefault="00D87C80" w14:paraId="11206EA0" w14:textId="417434F3">
      <w:pPr>
        <w:pStyle w:val="ListParagraph"/>
        <w:numPr>
          <w:ilvl w:val="0"/>
          <w:numId w:val="1"/>
        </w:numPr>
        <w:ind w:left="0" w:firstLine="0"/>
        <w:rPr>
          <w:rFonts w:cs="Arial"/>
          <w:lang w:val="fr-FR"/>
        </w:rPr>
      </w:pPr>
      <w:r w:rsidRPr="00A86354">
        <w:rPr>
          <w:rFonts w:cs="Arial"/>
          <w:lang w:val="fr-FR"/>
        </w:rPr>
        <w:t xml:space="preserve">De plus, </w:t>
      </w:r>
      <w:r w:rsidRPr="00A86354" w:rsidR="008B7890">
        <w:rPr>
          <w:rFonts w:cs="Arial"/>
          <w:lang w:val="fr-FR"/>
        </w:rPr>
        <w:t>l</w:t>
      </w:r>
      <w:r w:rsidRPr="00A86354" w:rsidR="0006032C">
        <w:rPr>
          <w:rFonts w:cs="Arial"/>
          <w:lang w:val="fr-FR"/>
        </w:rPr>
        <w:t>’</w:t>
      </w:r>
      <w:r w:rsidRPr="00A86354" w:rsidR="008B7890">
        <w:rPr>
          <w:rFonts w:cs="Arial"/>
          <w:lang w:val="fr-FR"/>
        </w:rPr>
        <w:t>accueil de</w:t>
      </w:r>
      <w:r w:rsidRPr="00A86354">
        <w:rPr>
          <w:rFonts w:cs="Arial"/>
          <w:lang w:val="fr-FR"/>
        </w:rPr>
        <w:t xml:space="preserve"> milliers d</w:t>
      </w:r>
      <w:r w:rsidRPr="00A86354" w:rsidR="0006032C">
        <w:rPr>
          <w:rFonts w:cs="Arial"/>
          <w:lang w:val="fr-FR"/>
        </w:rPr>
        <w:t>’</w:t>
      </w:r>
      <w:r w:rsidRPr="00A86354">
        <w:rPr>
          <w:rFonts w:cs="Arial"/>
          <w:lang w:val="fr-FR"/>
        </w:rPr>
        <w:t>adultes dans des établissements belges très éloignés de leur domicile familial, faute de réponses adaptées de proximité du fait des carences de l</w:t>
      </w:r>
      <w:r w:rsidRPr="00A86354" w:rsidR="0006032C">
        <w:rPr>
          <w:rFonts w:cs="Arial"/>
          <w:lang w:val="fr-FR"/>
        </w:rPr>
        <w:t>’</w:t>
      </w:r>
      <w:r w:rsidRPr="00A86354">
        <w:rPr>
          <w:rFonts w:cs="Arial"/>
          <w:lang w:val="fr-FR"/>
        </w:rPr>
        <w:t>offre médico-sociale en France</w:t>
      </w:r>
      <w:r w:rsidRPr="00A86354" w:rsidR="001548CB">
        <w:rPr>
          <w:rFonts w:cs="Arial"/>
          <w:lang w:val="fr-FR"/>
        </w:rPr>
        <w:t xml:space="preserve">, </w:t>
      </w:r>
      <w:r w:rsidRPr="00A86354">
        <w:rPr>
          <w:rFonts w:cs="Arial"/>
          <w:lang w:val="fr-FR"/>
        </w:rPr>
        <w:t>prive ces personnes</w:t>
      </w:r>
      <w:r w:rsidRPr="00A86354" w:rsidR="001548CB">
        <w:rPr>
          <w:rFonts w:cs="Arial"/>
          <w:lang w:val="fr-FR"/>
        </w:rPr>
        <w:t xml:space="preserve"> </w:t>
      </w:r>
      <w:r w:rsidRPr="00A86354">
        <w:rPr>
          <w:rFonts w:cs="Arial"/>
          <w:lang w:val="fr-FR"/>
        </w:rPr>
        <w:t>de véritables liens familiaux</w:t>
      </w:r>
      <w:r w:rsidRPr="00A86354" w:rsidR="001548CB">
        <w:rPr>
          <w:rFonts w:cs="Arial"/>
          <w:lang w:val="fr-FR"/>
        </w:rPr>
        <w:t xml:space="preserve">. </w:t>
      </w:r>
      <w:r w:rsidRPr="00A86354" w:rsidR="0040523D">
        <w:rPr>
          <w:rFonts w:cs="Arial"/>
          <w:lang w:val="fr-FR"/>
        </w:rPr>
        <w:t>La Défenseure des droits</w:t>
      </w:r>
      <w:r w:rsidRPr="00A86354" w:rsidR="002B4C44">
        <w:rPr>
          <w:rFonts w:cs="Arial"/>
          <w:lang w:val="fr-FR"/>
        </w:rPr>
        <w:t xml:space="preserve"> </w:t>
      </w:r>
      <w:r w:rsidRPr="00A86354">
        <w:rPr>
          <w:rFonts w:cs="Arial"/>
          <w:lang w:val="fr-FR"/>
        </w:rPr>
        <w:t>souligne qu</w:t>
      </w:r>
      <w:r w:rsidRPr="00A86354" w:rsidR="0006032C">
        <w:rPr>
          <w:rFonts w:cs="Arial"/>
          <w:lang w:val="fr-FR"/>
        </w:rPr>
        <w:t>’</w:t>
      </w:r>
      <w:r w:rsidRPr="00A86354">
        <w:rPr>
          <w:rFonts w:cs="Arial"/>
          <w:lang w:val="fr-FR"/>
        </w:rPr>
        <w:t>en</w:t>
      </w:r>
      <w:r w:rsidRPr="00A86354" w:rsidR="001548CB">
        <w:rPr>
          <w:rFonts w:cs="Arial"/>
          <w:lang w:val="fr-FR"/>
        </w:rPr>
        <w:t xml:space="preserve"> 2015, </w:t>
      </w:r>
      <w:r w:rsidRPr="00A86354">
        <w:rPr>
          <w:rFonts w:cs="Arial"/>
          <w:lang w:val="fr-FR"/>
        </w:rPr>
        <w:t>le juge administratif a reconnu, pour la première fois, le préjudice moral subi par un enfant autiste éloigné de sa famille en raison d</w:t>
      </w:r>
      <w:r w:rsidRPr="00A86354" w:rsidR="0006032C">
        <w:rPr>
          <w:rFonts w:cs="Arial"/>
          <w:lang w:val="fr-FR"/>
        </w:rPr>
        <w:t>’</w:t>
      </w:r>
      <w:r w:rsidRPr="00A86354">
        <w:rPr>
          <w:rFonts w:cs="Arial"/>
          <w:lang w:val="fr-FR"/>
        </w:rPr>
        <w:t>un placement en Belgique, et a condamné l</w:t>
      </w:r>
      <w:r w:rsidRPr="00A86354" w:rsidR="0006032C">
        <w:rPr>
          <w:rFonts w:cs="Arial"/>
          <w:lang w:val="fr-FR"/>
        </w:rPr>
        <w:t>’</w:t>
      </w:r>
      <w:r w:rsidRPr="00A86354">
        <w:rPr>
          <w:rFonts w:cs="Arial"/>
          <w:lang w:val="fr-FR"/>
        </w:rPr>
        <w:t xml:space="preserve">État à verser un dédommagement en réparation du préjudice subi du fait de sa carence dans la mise en œuvre des moyens nécessaires à une prise en charge adaptée </w:t>
      </w:r>
      <w:r w:rsidRPr="00A86354" w:rsidR="001548CB">
        <w:rPr>
          <w:rFonts w:cs="Arial"/>
          <w:lang w:val="fr-FR"/>
        </w:rPr>
        <w:t>(TA Paris, 1</w:t>
      </w:r>
      <w:r w:rsidRPr="00A86354" w:rsidR="001548CB">
        <w:rPr>
          <w:rFonts w:cs="Arial"/>
          <w:vertAlign w:val="superscript"/>
          <w:lang w:val="fr-FR"/>
        </w:rPr>
        <w:t>ère</w:t>
      </w:r>
      <w:r w:rsidRPr="00A86354" w:rsidR="00F90F07">
        <w:rPr>
          <w:rFonts w:cs="Arial"/>
          <w:lang w:val="fr-FR"/>
        </w:rPr>
        <w:t> </w:t>
      </w:r>
      <w:r w:rsidRPr="00A86354" w:rsidR="001548CB">
        <w:rPr>
          <w:rFonts w:cs="Arial"/>
          <w:lang w:val="fr-FR"/>
        </w:rPr>
        <w:t>ch.,</w:t>
      </w:r>
      <w:r w:rsidRPr="00A86354" w:rsidR="005D55A5">
        <w:rPr>
          <w:rFonts w:cs="Arial"/>
          <w:lang w:val="fr-FR"/>
        </w:rPr>
        <w:t xml:space="preserve"> 15</w:t>
      </w:r>
      <w:r w:rsidRPr="00A86354" w:rsidR="001548CB">
        <w:rPr>
          <w:rFonts w:cs="Arial"/>
          <w:lang w:val="fr-FR"/>
        </w:rPr>
        <w:t xml:space="preserve"> </w:t>
      </w:r>
      <w:r w:rsidRPr="00A86354">
        <w:rPr>
          <w:rFonts w:cs="Arial"/>
          <w:lang w:val="fr-FR"/>
        </w:rPr>
        <w:t>juillet</w:t>
      </w:r>
      <w:r w:rsidRPr="00A86354" w:rsidR="001548CB">
        <w:rPr>
          <w:rFonts w:cs="Arial"/>
          <w:lang w:val="fr-FR"/>
        </w:rPr>
        <w:t xml:space="preserve"> 2015, n</w:t>
      </w:r>
      <w:r w:rsidRPr="00A86354">
        <w:rPr>
          <w:rFonts w:cs="Arial"/>
          <w:lang w:val="fr-FR"/>
        </w:rPr>
        <w:t>°</w:t>
      </w:r>
      <w:r w:rsidRPr="00A86354" w:rsidR="001548CB">
        <w:rPr>
          <w:rFonts w:cs="Arial"/>
          <w:lang w:val="fr-FR"/>
        </w:rPr>
        <w:t xml:space="preserve"> 1416876 / 2-1)</w:t>
      </w:r>
      <w:r w:rsidRPr="00A86354" w:rsidR="00FC0C16">
        <w:rPr>
          <w:rFonts w:cs="Arial"/>
          <w:lang w:val="fr-FR"/>
        </w:rPr>
        <w:t>.</w:t>
      </w:r>
    </w:p>
    <w:p w:rsidRPr="00A86354" w:rsidR="00411672" w:rsidP="00411672" w:rsidRDefault="00411672" w14:paraId="4BF51E23" w14:textId="3F8960AB">
      <w:pPr>
        <w:rPr>
          <w:rFonts w:ascii="Arial" w:hAnsi="Arial" w:cs="Arial"/>
          <w:lang w:val="fr-FR"/>
        </w:rPr>
      </w:pPr>
      <w:r w:rsidRPr="00A86354">
        <w:rPr>
          <w:rFonts w:ascii="Arial" w:hAnsi="Arial" w:cs="Arial"/>
          <w:b/>
          <w:bCs/>
          <w:lang w:val="fr-FR"/>
        </w:rPr>
        <w:br w:type="column"/>
      </w:r>
      <w:bookmarkStart w:name="lt_pId059" w:id="5"/>
      <w:r w:rsidRPr="00A86354" w:rsidR="00177A75">
        <w:rPr>
          <w:rFonts w:ascii="Arial" w:hAnsi="Arial" w:cs="Arial"/>
          <w:b/>
          <w:bCs/>
          <w:lang w:val="fr-FR"/>
        </w:rPr>
        <w:lastRenderedPageBreak/>
        <w:t>LÉGISLATION ET JURISPRUDENCE NATIONALES APPLICABLES</w:t>
      </w:r>
      <w:bookmarkEnd w:id="5"/>
    </w:p>
    <w:p w:rsidRPr="00A86354" w:rsidR="00411672" w:rsidP="00A86354" w:rsidRDefault="00411672" w14:paraId="1CA5E1D9" w14:textId="77777777">
      <w:pPr>
        <w:rPr>
          <w:rFonts w:ascii="Arial" w:hAnsi="Arial" w:cs="Arial"/>
          <w:lang w:val="fr-FR"/>
        </w:rPr>
      </w:pPr>
    </w:p>
    <w:p w:rsidRPr="00A86354" w:rsidR="00D31501" w:rsidP="00CE016A" w:rsidRDefault="00223703" w14:paraId="461A4068" w14:textId="21CD9B30">
      <w:pPr>
        <w:pStyle w:val="ListParagraph"/>
        <w:numPr>
          <w:ilvl w:val="0"/>
          <w:numId w:val="1"/>
        </w:numPr>
        <w:ind w:left="0" w:firstLine="0"/>
        <w:rPr>
          <w:rFonts w:cs="Arial"/>
          <w:lang w:val="fr-FR"/>
        </w:rPr>
      </w:pPr>
      <w:r w:rsidRPr="00A86354">
        <w:rPr>
          <w:rFonts w:cs="Arial"/>
          <w:lang w:val="fr-FR"/>
        </w:rPr>
        <w:t>Le handicap est défini dans la loi n°</w:t>
      </w:r>
      <w:r w:rsidRPr="00A86354" w:rsidR="00D31501">
        <w:rPr>
          <w:rFonts w:cs="Arial"/>
          <w:lang w:val="fr-FR"/>
        </w:rPr>
        <w:t xml:space="preserve"> 2005-102 </w:t>
      </w:r>
      <w:r w:rsidRPr="00A86354">
        <w:rPr>
          <w:rFonts w:cs="Arial"/>
          <w:lang w:val="fr-FR"/>
        </w:rPr>
        <w:t>du</w:t>
      </w:r>
      <w:r w:rsidRPr="00A86354" w:rsidR="00D31501">
        <w:rPr>
          <w:rFonts w:cs="Arial"/>
          <w:lang w:val="fr-FR"/>
        </w:rPr>
        <w:t xml:space="preserve"> 11 </w:t>
      </w:r>
      <w:r w:rsidRPr="00A86354">
        <w:rPr>
          <w:rFonts w:cs="Arial"/>
          <w:lang w:val="fr-FR"/>
        </w:rPr>
        <w:t>février</w:t>
      </w:r>
      <w:r w:rsidRPr="00A86354" w:rsidR="00D31501">
        <w:rPr>
          <w:rFonts w:cs="Arial"/>
          <w:lang w:val="fr-FR"/>
        </w:rPr>
        <w:t xml:space="preserve"> 2005 </w:t>
      </w:r>
      <w:r w:rsidRPr="00A86354">
        <w:rPr>
          <w:rFonts w:cs="Arial"/>
          <w:lang w:val="fr-FR"/>
        </w:rPr>
        <w:t>pour l</w:t>
      </w:r>
      <w:r w:rsidRPr="00A86354" w:rsidR="0006032C">
        <w:rPr>
          <w:rFonts w:cs="Arial"/>
          <w:lang w:val="fr-FR"/>
        </w:rPr>
        <w:t>’</w:t>
      </w:r>
      <w:r w:rsidRPr="00A86354">
        <w:rPr>
          <w:rFonts w:cs="Arial"/>
          <w:lang w:val="fr-FR"/>
        </w:rPr>
        <w:t>égalité des droits et des chances, la participation et la citoyenneté des personnes handicapées</w:t>
      </w:r>
      <w:r w:rsidRPr="00A86354" w:rsidR="00D31501">
        <w:rPr>
          <w:rFonts w:cs="Arial"/>
          <w:lang w:val="fr-FR"/>
        </w:rPr>
        <w:t xml:space="preserve">. </w:t>
      </w:r>
    </w:p>
    <w:p w:rsidRPr="00A86354" w:rsidR="00D31501" w:rsidP="00164744" w:rsidRDefault="00D31501" w14:paraId="586A9CF5" w14:textId="77777777">
      <w:pPr>
        <w:rPr>
          <w:rFonts w:ascii="Arial" w:hAnsi="Arial" w:cs="Arial"/>
          <w:b/>
          <w:bCs/>
          <w:lang w:val="fr-FR"/>
        </w:rPr>
      </w:pPr>
    </w:p>
    <w:p w:rsidRPr="00A86354" w:rsidR="004279A1" w:rsidP="00A86354" w:rsidRDefault="00D31501" w14:paraId="711E6425" w14:textId="5A4B0181">
      <w:pPr>
        <w:ind w:left="709"/>
        <w:rPr>
          <w:rFonts w:ascii="Arial" w:hAnsi="Arial" w:cs="Arial"/>
          <w:sz w:val="20"/>
          <w:szCs w:val="20"/>
          <w:lang w:val="fr-FR"/>
        </w:rPr>
      </w:pPr>
      <w:r w:rsidRPr="00A86354">
        <w:rPr>
          <w:rFonts w:ascii="Arial" w:hAnsi="Arial" w:cs="Arial"/>
          <w:b/>
          <w:bCs/>
          <w:sz w:val="20"/>
          <w:szCs w:val="20"/>
          <w:lang w:val="fr-FR"/>
        </w:rPr>
        <w:t xml:space="preserve">Article 2 </w:t>
      </w:r>
      <w:r w:rsidRPr="00A86354">
        <w:rPr>
          <w:rFonts w:ascii="Arial" w:hAnsi="Arial" w:cs="Arial"/>
          <w:sz w:val="20"/>
          <w:szCs w:val="20"/>
          <w:lang w:val="fr-FR"/>
        </w:rPr>
        <w:t>[</w:t>
      </w:r>
      <w:r w:rsidRPr="00A86354" w:rsidR="00C768F6">
        <w:rPr>
          <w:rFonts w:ascii="Arial" w:hAnsi="Arial" w:cs="Arial"/>
          <w:sz w:val="20"/>
          <w:szCs w:val="20"/>
          <w:lang w:val="fr-FR"/>
        </w:rPr>
        <w:t>définition</w:t>
      </w:r>
      <w:r w:rsidRPr="00A86354">
        <w:rPr>
          <w:rFonts w:ascii="Arial" w:hAnsi="Arial" w:cs="Arial"/>
          <w:sz w:val="20"/>
          <w:szCs w:val="20"/>
          <w:lang w:val="fr-FR"/>
        </w:rPr>
        <w:t xml:space="preserve"> </w:t>
      </w:r>
      <w:r w:rsidRPr="00A86354" w:rsidR="00C768F6">
        <w:rPr>
          <w:rFonts w:ascii="Arial" w:hAnsi="Arial" w:cs="Arial"/>
          <w:sz w:val="20"/>
          <w:szCs w:val="20"/>
          <w:lang w:val="fr-FR"/>
        </w:rPr>
        <w:t>du handicap</w:t>
      </w:r>
      <w:r w:rsidRPr="00A86354">
        <w:rPr>
          <w:rFonts w:ascii="Arial" w:hAnsi="Arial" w:cs="Arial"/>
          <w:sz w:val="20"/>
          <w:szCs w:val="20"/>
          <w:lang w:val="fr-FR"/>
        </w:rPr>
        <w:t>]</w:t>
      </w:r>
    </w:p>
    <w:p w:rsidRPr="00A86354" w:rsidR="00D31501" w:rsidP="00A86354" w:rsidRDefault="00D31501" w14:paraId="3C563FBF" w14:textId="77777777">
      <w:pPr>
        <w:ind w:left="709"/>
        <w:rPr>
          <w:rFonts w:ascii="Arial" w:hAnsi="Arial" w:cs="Arial"/>
          <w:sz w:val="20"/>
          <w:szCs w:val="20"/>
          <w:lang w:val="fr-FR"/>
        </w:rPr>
      </w:pPr>
    </w:p>
    <w:p w:rsidRPr="00A86354" w:rsidR="004279A1" w:rsidP="00A86354" w:rsidRDefault="000807D5" w14:paraId="0F28E3A0" w14:textId="071FAC84">
      <w:pPr>
        <w:ind w:left="709"/>
        <w:rPr>
          <w:rFonts w:ascii="Arial" w:hAnsi="Arial" w:cs="Arial"/>
          <w:sz w:val="20"/>
          <w:szCs w:val="20"/>
          <w:lang w:val="fr-FR"/>
        </w:rPr>
      </w:pPr>
      <w:r w:rsidRPr="00A86354">
        <w:rPr>
          <w:rFonts w:ascii="Arial" w:hAnsi="Arial" w:cs="Arial"/>
          <w:sz w:val="20"/>
          <w:szCs w:val="20"/>
          <w:lang w:val="fr-FR"/>
        </w:rPr>
        <w:t>« </w:t>
      </w:r>
      <w:r w:rsidRPr="00A86354" w:rsidR="00C768F6">
        <w:rPr>
          <w:rFonts w:ascii="Arial" w:hAnsi="Arial" w:cs="Arial"/>
          <w:sz w:val="20"/>
          <w:szCs w:val="20"/>
          <w:lang w:val="fr-FR"/>
        </w:rPr>
        <w:t>Constitue un handicap, au sens de la présente loi, toute limitation d</w:t>
      </w:r>
      <w:r w:rsidRPr="00A86354" w:rsidR="0006032C">
        <w:rPr>
          <w:rFonts w:ascii="Arial" w:hAnsi="Arial" w:cs="Arial"/>
          <w:sz w:val="20"/>
          <w:szCs w:val="20"/>
          <w:lang w:val="fr-FR"/>
        </w:rPr>
        <w:t>’</w:t>
      </w:r>
      <w:r w:rsidRPr="00A86354" w:rsidR="00C768F6">
        <w:rPr>
          <w:rFonts w:ascii="Arial" w:hAnsi="Arial" w:cs="Arial"/>
          <w:sz w:val="20"/>
          <w:szCs w:val="20"/>
          <w:lang w:val="fr-FR"/>
        </w:rPr>
        <w:t>activité ou restriction de participation à la vie en société subie dans son environnement par une personne en raison d</w:t>
      </w:r>
      <w:r w:rsidRPr="00A86354" w:rsidR="0006032C">
        <w:rPr>
          <w:rFonts w:ascii="Arial" w:hAnsi="Arial" w:cs="Arial"/>
          <w:sz w:val="20"/>
          <w:szCs w:val="20"/>
          <w:lang w:val="fr-FR"/>
        </w:rPr>
        <w:t>’</w:t>
      </w:r>
      <w:r w:rsidRPr="00A86354" w:rsidR="00C768F6">
        <w:rPr>
          <w:rFonts w:ascii="Arial" w:hAnsi="Arial" w:cs="Arial"/>
          <w:sz w:val="20"/>
          <w:szCs w:val="20"/>
          <w:lang w:val="fr-FR"/>
        </w:rPr>
        <w:t>une altération substantielle, durable ou définitive d</w:t>
      </w:r>
      <w:r w:rsidRPr="00A86354" w:rsidR="0006032C">
        <w:rPr>
          <w:rFonts w:ascii="Arial" w:hAnsi="Arial" w:cs="Arial"/>
          <w:sz w:val="20"/>
          <w:szCs w:val="20"/>
          <w:lang w:val="fr-FR"/>
        </w:rPr>
        <w:t>’</w:t>
      </w:r>
      <w:r w:rsidRPr="00A86354" w:rsidR="00C768F6">
        <w:rPr>
          <w:rFonts w:ascii="Arial" w:hAnsi="Arial" w:cs="Arial"/>
          <w:sz w:val="20"/>
          <w:szCs w:val="20"/>
          <w:lang w:val="fr-FR"/>
        </w:rPr>
        <w:t>une ou plusieurs fonctions physiques, sensorielles, mentales, cognitives ou psychiques, d</w:t>
      </w:r>
      <w:r w:rsidRPr="00A86354" w:rsidR="0006032C">
        <w:rPr>
          <w:rFonts w:ascii="Arial" w:hAnsi="Arial" w:cs="Arial"/>
          <w:sz w:val="20"/>
          <w:szCs w:val="20"/>
          <w:lang w:val="fr-FR"/>
        </w:rPr>
        <w:t>’</w:t>
      </w:r>
      <w:r w:rsidRPr="00A86354" w:rsidR="00C768F6">
        <w:rPr>
          <w:rFonts w:ascii="Arial" w:hAnsi="Arial" w:cs="Arial"/>
          <w:sz w:val="20"/>
          <w:szCs w:val="20"/>
          <w:lang w:val="fr-FR"/>
        </w:rPr>
        <w:t>un polyhandicap ou d</w:t>
      </w:r>
      <w:r w:rsidRPr="00A86354" w:rsidR="0006032C">
        <w:rPr>
          <w:rFonts w:ascii="Arial" w:hAnsi="Arial" w:cs="Arial"/>
          <w:sz w:val="20"/>
          <w:szCs w:val="20"/>
          <w:lang w:val="fr-FR"/>
        </w:rPr>
        <w:t>’</w:t>
      </w:r>
      <w:r w:rsidRPr="00A86354" w:rsidR="00C768F6">
        <w:rPr>
          <w:rFonts w:ascii="Arial" w:hAnsi="Arial" w:cs="Arial"/>
          <w:sz w:val="20"/>
          <w:szCs w:val="20"/>
          <w:lang w:val="fr-FR"/>
        </w:rPr>
        <w:t>un trouble de santé invalidant.</w:t>
      </w:r>
    </w:p>
    <w:p w:rsidRPr="00A86354" w:rsidR="00D31501" w:rsidP="00A86354" w:rsidRDefault="00D31501" w14:paraId="5BCD2D34" w14:textId="0BAA35CE">
      <w:pPr>
        <w:ind w:left="709"/>
        <w:rPr>
          <w:rFonts w:ascii="Arial" w:hAnsi="Arial" w:cs="Arial"/>
          <w:lang w:val="fr-FR"/>
        </w:rPr>
      </w:pPr>
    </w:p>
    <w:p w:rsidRPr="00A86354" w:rsidR="00D31501" w:rsidP="00A86354" w:rsidRDefault="002C5D46" w14:paraId="1BDEE84B" w14:textId="17DD736D">
      <w:pPr>
        <w:ind w:left="709"/>
        <w:rPr>
          <w:rFonts w:ascii="Arial" w:hAnsi="Arial" w:cs="Arial"/>
          <w:sz w:val="20"/>
          <w:szCs w:val="20"/>
          <w:lang w:val="fr-FR"/>
        </w:rPr>
      </w:pPr>
      <w:r w:rsidRPr="00A86354">
        <w:rPr>
          <w:rFonts w:ascii="Arial" w:hAnsi="Arial" w:cs="Arial"/>
          <w:sz w:val="20"/>
          <w:szCs w:val="20"/>
          <w:lang w:val="fr-FR"/>
        </w:rPr>
        <w:t>[...]</w:t>
      </w:r>
      <w:r w:rsidRPr="00A86354" w:rsidR="000807D5">
        <w:rPr>
          <w:rFonts w:ascii="Arial" w:hAnsi="Arial" w:cs="Arial"/>
          <w:sz w:val="20"/>
          <w:szCs w:val="20"/>
          <w:lang w:val="fr-FR"/>
        </w:rPr>
        <w:t> »</w:t>
      </w:r>
    </w:p>
    <w:p w:rsidRPr="00A86354" w:rsidR="00761CDC" w:rsidP="00164744" w:rsidRDefault="00761CDC" w14:paraId="3B31898A" w14:textId="77777777">
      <w:pPr>
        <w:rPr>
          <w:rFonts w:ascii="Arial" w:hAnsi="Arial" w:cs="Arial"/>
          <w:b/>
          <w:bCs/>
          <w:lang w:val="fr-FR"/>
        </w:rPr>
      </w:pPr>
    </w:p>
    <w:p w:rsidRPr="00A86354" w:rsidR="00761CDC" w:rsidP="00164744" w:rsidRDefault="005A16A6" w14:paraId="333480FA" w14:textId="18EFD69E">
      <w:pPr>
        <w:rPr>
          <w:rFonts w:ascii="Arial" w:hAnsi="Arial" w:cs="Arial"/>
          <w:b/>
          <w:bCs/>
          <w:lang w:val="fr-FR"/>
        </w:rPr>
      </w:pPr>
      <w:r w:rsidRPr="00A86354">
        <w:rPr>
          <w:rFonts w:ascii="Arial" w:hAnsi="Arial" w:cs="Arial"/>
          <w:b/>
          <w:bCs/>
          <w:lang w:val="fr-FR"/>
        </w:rPr>
        <w:t>Établissements et services sociaux et médico-sociaux (</w:t>
      </w:r>
      <w:r w:rsidRPr="00A86354" w:rsidR="00761CDC">
        <w:rPr>
          <w:rFonts w:ascii="Arial" w:hAnsi="Arial" w:cs="Arial"/>
          <w:b/>
          <w:bCs/>
          <w:lang w:val="fr-FR"/>
        </w:rPr>
        <w:t>ESMS)</w:t>
      </w:r>
    </w:p>
    <w:p w:rsidRPr="00A86354" w:rsidR="00761CDC" w:rsidP="00164744" w:rsidRDefault="00761CDC" w14:paraId="674B6000" w14:textId="77777777">
      <w:pPr>
        <w:rPr>
          <w:rFonts w:ascii="Arial" w:hAnsi="Arial" w:cs="Arial"/>
          <w:b/>
          <w:bCs/>
          <w:lang w:val="fr-FR"/>
        </w:rPr>
      </w:pPr>
    </w:p>
    <w:p w:rsidRPr="00A86354" w:rsidR="00761CDC" w:rsidP="00CE016A" w:rsidRDefault="005A16A6" w14:paraId="54790F47" w14:textId="577EE2D9">
      <w:pPr>
        <w:pStyle w:val="ListParagraph"/>
        <w:numPr>
          <w:ilvl w:val="0"/>
          <w:numId w:val="1"/>
        </w:numPr>
        <w:ind w:left="0" w:firstLine="0"/>
        <w:rPr>
          <w:rFonts w:cs="Arial"/>
          <w:shd w:val="clear" w:color="auto" w:fill="FFFFFF"/>
          <w:lang w:val="fr-FR"/>
        </w:rPr>
      </w:pPr>
      <w:r w:rsidRPr="00A86354">
        <w:rPr>
          <w:rFonts w:cs="Arial"/>
          <w:lang w:val="fr-FR"/>
        </w:rPr>
        <w:t>Aux termes de l</w:t>
      </w:r>
      <w:r w:rsidRPr="00A86354" w:rsidR="0006032C">
        <w:rPr>
          <w:rFonts w:cs="Arial"/>
          <w:lang w:val="fr-FR"/>
        </w:rPr>
        <w:t>’</w:t>
      </w:r>
      <w:r w:rsidRPr="00A86354">
        <w:rPr>
          <w:rFonts w:cs="Arial"/>
          <w:lang w:val="fr-FR"/>
        </w:rPr>
        <w:t>a</w:t>
      </w:r>
      <w:r w:rsidRPr="00A86354" w:rsidR="00761CDC">
        <w:rPr>
          <w:rFonts w:cs="Arial"/>
          <w:lang w:val="fr-FR"/>
        </w:rPr>
        <w:t>rticle</w:t>
      </w:r>
      <w:r w:rsidRPr="00A86354" w:rsidR="00761CDC">
        <w:rPr>
          <w:rFonts w:cs="Arial"/>
          <w:shd w:val="clear" w:color="auto" w:fill="FFFFFF"/>
          <w:lang w:val="fr-FR"/>
        </w:rPr>
        <w:t xml:space="preserve"> L312-1 </w:t>
      </w:r>
      <w:r w:rsidRPr="00A86354">
        <w:rPr>
          <w:rFonts w:cs="Arial"/>
          <w:shd w:val="clear" w:color="auto" w:fill="FFFFFF"/>
          <w:lang w:val="fr-FR"/>
        </w:rPr>
        <w:t>du code de l</w:t>
      </w:r>
      <w:r w:rsidRPr="00A86354" w:rsidR="0006032C">
        <w:rPr>
          <w:rFonts w:cs="Arial"/>
          <w:shd w:val="clear" w:color="auto" w:fill="FFFFFF"/>
          <w:lang w:val="fr-FR"/>
        </w:rPr>
        <w:t>’</w:t>
      </w:r>
      <w:r w:rsidRPr="00A86354">
        <w:rPr>
          <w:rFonts w:cs="Arial"/>
          <w:shd w:val="clear" w:color="auto" w:fill="FFFFFF"/>
          <w:lang w:val="fr-FR"/>
        </w:rPr>
        <w:t>action sociale et des familles</w:t>
      </w:r>
      <w:r w:rsidRPr="00A86354" w:rsidR="00761CDC">
        <w:rPr>
          <w:rFonts w:cs="Arial"/>
          <w:shd w:val="clear" w:color="auto" w:fill="FFFFFF"/>
          <w:lang w:val="fr-FR"/>
        </w:rPr>
        <w:t xml:space="preserve">, </w:t>
      </w:r>
      <w:r w:rsidRPr="00A86354">
        <w:rPr>
          <w:rFonts w:cs="Arial"/>
          <w:shd w:val="clear" w:color="auto" w:fill="FFFFFF"/>
          <w:lang w:val="fr-FR"/>
        </w:rPr>
        <w:t xml:space="preserve">les </w:t>
      </w:r>
      <w:r w:rsidRPr="00A86354" w:rsidR="00761CDC">
        <w:rPr>
          <w:rFonts w:cs="Arial"/>
          <w:shd w:val="clear" w:color="auto" w:fill="FFFFFF"/>
          <w:lang w:val="fr-FR"/>
        </w:rPr>
        <w:t>ESMS</w:t>
      </w:r>
      <w:r w:rsidRPr="00A86354">
        <w:rPr>
          <w:rFonts w:cs="Arial"/>
          <w:shd w:val="clear" w:color="auto" w:fill="FFFFFF"/>
          <w:lang w:val="fr-FR"/>
        </w:rPr>
        <w:t xml:space="preserve"> comprennent</w:t>
      </w:r>
      <w:r w:rsidRPr="00A86354" w:rsidR="000807D5">
        <w:rPr>
          <w:rFonts w:cs="Arial"/>
          <w:shd w:val="clear" w:color="auto" w:fill="FFFFFF"/>
          <w:lang w:val="fr-FR"/>
        </w:rPr>
        <w:t> :</w:t>
      </w:r>
      <w:r w:rsidRPr="00A86354" w:rsidR="00761CDC">
        <w:rPr>
          <w:rFonts w:cs="Arial"/>
          <w:shd w:val="clear" w:color="auto" w:fill="FFFFFF"/>
          <w:lang w:val="fr-FR"/>
        </w:rPr>
        <w:t xml:space="preserve">  </w:t>
      </w:r>
    </w:p>
    <w:p w:rsidRPr="00A86354" w:rsidR="00761CDC" w:rsidP="00761CDC" w:rsidRDefault="00761CDC" w14:paraId="6558F302" w14:textId="77777777">
      <w:pPr>
        <w:rPr>
          <w:rFonts w:ascii="Arial" w:hAnsi="Arial" w:cs="Arial"/>
          <w:shd w:val="clear" w:color="auto" w:fill="FFFFFF"/>
          <w:lang w:val="fr-FR"/>
        </w:rPr>
      </w:pPr>
    </w:p>
    <w:p w:rsidRPr="00A86354" w:rsidR="00761CDC" w:rsidP="00A86354" w:rsidRDefault="00761CDC" w14:paraId="66EADC84" w14:textId="3D08AB7C">
      <w:pPr>
        <w:ind w:left="709"/>
        <w:rPr>
          <w:rFonts w:ascii="Arial" w:hAnsi="Arial" w:cs="Arial"/>
          <w:sz w:val="20"/>
          <w:szCs w:val="20"/>
          <w:lang w:val="fr-FR"/>
        </w:rPr>
      </w:pPr>
      <w:r w:rsidRPr="00A86354">
        <w:rPr>
          <w:rFonts w:ascii="Arial" w:hAnsi="Arial" w:cs="Arial"/>
          <w:sz w:val="20"/>
          <w:szCs w:val="20"/>
          <w:shd w:val="clear" w:color="auto" w:fill="FFFFFF"/>
          <w:lang w:val="fr-FR"/>
        </w:rPr>
        <w:t xml:space="preserve">(1) </w:t>
      </w:r>
      <w:r w:rsidRPr="00A86354" w:rsidR="005A16A6">
        <w:rPr>
          <w:rFonts w:ascii="Arial" w:hAnsi="Arial" w:cs="Arial"/>
          <w:sz w:val="20"/>
          <w:szCs w:val="20"/>
          <w:shd w:val="clear" w:color="auto" w:fill="FFFFFF"/>
          <w:lang w:val="fr-FR"/>
        </w:rPr>
        <w:t>Les établissements ou services d</w:t>
      </w:r>
      <w:r w:rsidRPr="00A86354" w:rsidR="0006032C">
        <w:rPr>
          <w:rFonts w:ascii="Arial" w:hAnsi="Arial" w:cs="Arial"/>
          <w:sz w:val="20"/>
          <w:szCs w:val="20"/>
          <w:shd w:val="clear" w:color="auto" w:fill="FFFFFF"/>
          <w:lang w:val="fr-FR"/>
        </w:rPr>
        <w:t>’</w:t>
      </w:r>
      <w:r w:rsidRPr="00A86354" w:rsidR="005A16A6">
        <w:rPr>
          <w:rFonts w:ascii="Arial" w:hAnsi="Arial" w:cs="Arial"/>
          <w:sz w:val="20"/>
          <w:szCs w:val="20"/>
          <w:shd w:val="clear" w:color="auto" w:fill="FFFFFF"/>
          <w:lang w:val="fr-FR"/>
        </w:rPr>
        <w:t>enseignement qui assurent, à titre principal, une éducation adaptée et un accompagnement social ou médico-social aux mineurs ou jeunes adultes handicapés</w:t>
      </w:r>
      <w:r w:rsidRPr="00A86354" w:rsidR="000807D5">
        <w:rPr>
          <w:rFonts w:ascii="Arial" w:hAnsi="Arial" w:cs="Arial"/>
          <w:sz w:val="20"/>
          <w:szCs w:val="20"/>
          <w:shd w:val="clear" w:color="auto" w:fill="FFFFFF"/>
          <w:lang w:val="fr-FR"/>
        </w:rPr>
        <w:t> ;</w:t>
      </w:r>
      <w:r w:rsidRPr="00A86354">
        <w:rPr>
          <w:rFonts w:ascii="Arial" w:hAnsi="Arial" w:cs="Arial"/>
          <w:sz w:val="20"/>
          <w:szCs w:val="20"/>
          <w:lang w:val="fr-FR"/>
        </w:rPr>
        <w:t xml:space="preserve"> </w:t>
      </w:r>
    </w:p>
    <w:p w:rsidRPr="00A86354" w:rsidR="00761CDC" w:rsidP="00A86354" w:rsidRDefault="00761CDC" w14:paraId="2667FA48" w14:textId="77777777">
      <w:pPr>
        <w:ind w:left="709"/>
        <w:rPr>
          <w:rFonts w:ascii="Arial" w:hAnsi="Arial" w:cs="Arial"/>
          <w:sz w:val="20"/>
          <w:szCs w:val="20"/>
          <w:lang w:val="fr-FR"/>
        </w:rPr>
      </w:pPr>
    </w:p>
    <w:p w:rsidRPr="00A86354" w:rsidR="00761CDC" w:rsidP="00A86354" w:rsidRDefault="00761CDC" w14:paraId="557B0CB5" w14:textId="389D1707">
      <w:pPr>
        <w:ind w:left="709"/>
        <w:rPr>
          <w:rFonts w:ascii="Arial" w:hAnsi="Arial" w:cs="Arial"/>
          <w:sz w:val="20"/>
          <w:szCs w:val="20"/>
          <w:shd w:val="clear" w:color="auto" w:fill="FFFFFF"/>
          <w:lang w:val="fr-FR"/>
        </w:rPr>
      </w:pPr>
      <w:r w:rsidRPr="00A86354">
        <w:rPr>
          <w:rFonts w:ascii="Arial" w:hAnsi="Arial" w:cs="Arial"/>
          <w:sz w:val="20"/>
          <w:szCs w:val="20"/>
          <w:lang w:val="fr-FR"/>
        </w:rPr>
        <w:t xml:space="preserve">(2) </w:t>
      </w:r>
      <w:r w:rsidRPr="00A86354" w:rsidR="005A16A6">
        <w:rPr>
          <w:rFonts w:ascii="Arial" w:hAnsi="Arial" w:cs="Arial"/>
          <w:sz w:val="20"/>
          <w:szCs w:val="20"/>
          <w:lang w:val="fr-FR"/>
        </w:rPr>
        <w:t>Les établissements et les services, y compris les foyers d</w:t>
      </w:r>
      <w:r w:rsidRPr="00A86354" w:rsidR="0006032C">
        <w:rPr>
          <w:rFonts w:ascii="Arial" w:hAnsi="Arial" w:cs="Arial"/>
          <w:sz w:val="20"/>
          <w:szCs w:val="20"/>
          <w:lang w:val="fr-FR"/>
        </w:rPr>
        <w:t>’</w:t>
      </w:r>
      <w:r w:rsidRPr="00A86354" w:rsidR="005A16A6">
        <w:rPr>
          <w:rFonts w:ascii="Arial" w:hAnsi="Arial" w:cs="Arial"/>
          <w:sz w:val="20"/>
          <w:szCs w:val="20"/>
          <w:lang w:val="fr-FR"/>
        </w:rPr>
        <w:t>accueil médicalisé, qui accueillent des personnes handicapées, quel que soit leur degré de handicap ou leur âge, ou des personnes atteintes de pathologies chroniques, qui leur apportent à domicile une assistance dans les actes quotidiens de la vie, des prestations de soins ou une aide à l</w:t>
      </w:r>
      <w:r w:rsidRPr="00A86354" w:rsidR="0006032C">
        <w:rPr>
          <w:rFonts w:ascii="Arial" w:hAnsi="Arial" w:cs="Arial"/>
          <w:sz w:val="20"/>
          <w:szCs w:val="20"/>
          <w:lang w:val="fr-FR"/>
        </w:rPr>
        <w:t>’</w:t>
      </w:r>
      <w:r w:rsidRPr="00A86354" w:rsidR="005A16A6">
        <w:rPr>
          <w:rFonts w:ascii="Arial" w:hAnsi="Arial" w:cs="Arial"/>
          <w:sz w:val="20"/>
          <w:szCs w:val="20"/>
          <w:lang w:val="fr-FR"/>
        </w:rPr>
        <w:t>insertion sociale ou bien qui leur assurent un accompagnement médico-social en milieu ouvert</w:t>
      </w:r>
      <w:r w:rsidRPr="00A86354">
        <w:rPr>
          <w:rFonts w:ascii="Arial" w:hAnsi="Arial" w:cs="Arial"/>
          <w:sz w:val="20"/>
          <w:szCs w:val="20"/>
          <w:lang w:val="fr-FR"/>
        </w:rPr>
        <w:t xml:space="preserve">. </w:t>
      </w:r>
    </w:p>
    <w:p w:rsidRPr="00A86354" w:rsidR="00761CDC" w:rsidP="00164744" w:rsidRDefault="00761CDC" w14:paraId="6B480CAC" w14:textId="422A89AA">
      <w:pPr>
        <w:rPr>
          <w:rFonts w:ascii="Arial" w:hAnsi="Arial" w:cs="Arial"/>
          <w:b/>
          <w:bCs/>
          <w:lang w:val="fr-FR"/>
        </w:rPr>
      </w:pPr>
    </w:p>
    <w:p w:rsidRPr="00A86354" w:rsidR="00096CBE" w:rsidP="00CE016A" w:rsidRDefault="00713761" w14:paraId="13A42895" w14:textId="335A184E">
      <w:pPr>
        <w:pStyle w:val="ListParagraph"/>
        <w:numPr>
          <w:ilvl w:val="0"/>
          <w:numId w:val="1"/>
        </w:numPr>
        <w:ind w:left="0" w:firstLine="0"/>
        <w:rPr>
          <w:rFonts w:cs="Arial"/>
          <w:lang w:val="fr-FR"/>
        </w:rPr>
      </w:pPr>
      <w:r w:rsidRPr="00A86354">
        <w:rPr>
          <w:rFonts w:cs="Arial"/>
          <w:lang w:val="fr-FR"/>
        </w:rPr>
        <w:t>Aux termes de l</w:t>
      </w:r>
      <w:r w:rsidRPr="00A86354" w:rsidR="0006032C">
        <w:rPr>
          <w:rFonts w:cs="Arial"/>
          <w:lang w:val="fr-FR"/>
        </w:rPr>
        <w:t>’</w:t>
      </w:r>
      <w:r w:rsidRPr="00A86354">
        <w:rPr>
          <w:rFonts w:cs="Arial"/>
          <w:lang w:val="fr-FR"/>
        </w:rPr>
        <w:t xml:space="preserve">article </w:t>
      </w:r>
      <w:r w:rsidRPr="00A86354" w:rsidR="00096CBE">
        <w:rPr>
          <w:rFonts w:cs="Arial"/>
          <w:lang w:val="fr-FR"/>
        </w:rPr>
        <w:t>L311-1</w:t>
      </w:r>
      <w:r w:rsidRPr="00A86354" w:rsidR="00023EDC">
        <w:rPr>
          <w:rFonts w:cs="Arial"/>
          <w:lang w:val="fr-FR"/>
        </w:rPr>
        <w:t xml:space="preserve"> </w:t>
      </w:r>
      <w:r w:rsidRPr="00A86354">
        <w:rPr>
          <w:rFonts w:cs="Arial"/>
          <w:lang w:val="fr-FR"/>
        </w:rPr>
        <w:t>de ce même</w:t>
      </w:r>
      <w:r w:rsidRPr="00A86354" w:rsidR="00023EDC">
        <w:rPr>
          <w:rFonts w:cs="Arial"/>
          <w:lang w:val="fr-FR"/>
        </w:rPr>
        <w:t xml:space="preserve"> code, </w:t>
      </w:r>
      <w:r w:rsidRPr="00A86354">
        <w:rPr>
          <w:rFonts w:cs="Arial"/>
          <w:lang w:val="fr-FR"/>
        </w:rPr>
        <w:t>l</w:t>
      </w:r>
      <w:r w:rsidRPr="00A86354" w:rsidR="0006032C">
        <w:rPr>
          <w:rFonts w:cs="Arial"/>
          <w:lang w:val="fr-FR"/>
        </w:rPr>
        <w:t>’</w:t>
      </w:r>
      <w:r w:rsidRPr="00A86354">
        <w:rPr>
          <w:rFonts w:cs="Arial"/>
          <w:lang w:val="fr-FR"/>
        </w:rPr>
        <w:t>action sociale et médico-sociale, au sens du présent code, s</w:t>
      </w:r>
      <w:r w:rsidRPr="00A86354" w:rsidR="0006032C">
        <w:rPr>
          <w:rFonts w:cs="Arial"/>
          <w:lang w:val="fr-FR"/>
        </w:rPr>
        <w:t>’</w:t>
      </w:r>
      <w:r w:rsidRPr="00A86354">
        <w:rPr>
          <w:rFonts w:cs="Arial"/>
          <w:lang w:val="fr-FR"/>
        </w:rPr>
        <w:t>inscrit dans les missions d</w:t>
      </w:r>
      <w:r w:rsidRPr="00A86354" w:rsidR="0006032C">
        <w:rPr>
          <w:rFonts w:cs="Arial"/>
          <w:lang w:val="fr-FR"/>
        </w:rPr>
        <w:t>’</w:t>
      </w:r>
      <w:r w:rsidRPr="00A86354">
        <w:rPr>
          <w:rFonts w:cs="Arial"/>
          <w:lang w:val="fr-FR"/>
        </w:rPr>
        <w:t>intérêt général et d</w:t>
      </w:r>
      <w:r w:rsidRPr="00A86354" w:rsidR="0006032C">
        <w:rPr>
          <w:rFonts w:cs="Arial"/>
          <w:lang w:val="fr-FR"/>
        </w:rPr>
        <w:t>’</w:t>
      </w:r>
      <w:r w:rsidRPr="00A86354">
        <w:rPr>
          <w:rFonts w:cs="Arial"/>
          <w:lang w:val="fr-FR"/>
        </w:rPr>
        <w:t>utilité sociale suivantes</w:t>
      </w:r>
      <w:r w:rsidRPr="00A86354" w:rsidR="000807D5">
        <w:rPr>
          <w:rFonts w:cs="Arial"/>
          <w:lang w:val="fr-FR"/>
        </w:rPr>
        <w:t> :</w:t>
      </w:r>
      <w:r w:rsidRPr="00A86354" w:rsidR="00023EDC">
        <w:rPr>
          <w:rFonts w:cs="Arial"/>
          <w:lang w:val="fr-FR"/>
        </w:rPr>
        <w:t xml:space="preserve"> </w:t>
      </w:r>
    </w:p>
    <w:p w:rsidRPr="00A86354" w:rsidR="00023EDC" w:rsidP="00096CBE" w:rsidRDefault="00023EDC" w14:paraId="7F9A2929" w14:textId="77777777">
      <w:pPr>
        <w:rPr>
          <w:rFonts w:ascii="Arial" w:hAnsi="Arial" w:cs="Arial"/>
          <w:sz w:val="20"/>
          <w:szCs w:val="20"/>
          <w:lang w:val="fr-FR"/>
        </w:rPr>
      </w:pPr>
    </w:p>
    <w:p w:rsidRPr="00A86354" w:rsidR="00096CBE" w:rsidP="00A86354" w:rsidRDefault="00023EDC" w14:paraId="1805B1E8" w14:textId="051B04BD">
      <w:pPr>
        <w:ind w:left="709"/>
        <w:rPr>
          <w:rFonts w:ascii="Arial" w:hAnsi="Arial" w:cs="Arial"/>
          <w:sz w:val="20"/>
          <w:szCs w:val="20"/>
          <w:lang w:val="fr-FR"/>
        </w:rPr>
      </w:pPr>
      <w:r w:rsidRPr="00A86354">
        <w:rPr>
          <w:rFonts w:ascii="Arial" w:hAnsi="Arial" w:cs="Arial"/>
          <w:sz w:val="20"/>
          <w:szCs w:val="20"/>
          <w:lang w:val="fr-FR"/>
        </w:rPr>
        <w:t>(1)</w:t>
      </w:r>
      <w:r w:rsidRPr="00A86354" w:rsidR="00096CBE">
        <w:rPr>
          <w:rFonts w:ascii="Arial" w:hAnsi="Arial" w:cs="Arial"/>
          <w:sz w:val="20"/>
          <w:szCs w:val="20"/>
          <w:lang w:val="fr-FR"/>
        </w:rPr>
        <w:t xml:space="preserve"> </w:t>
      </w:r>
      <w:r w:rsidRPr="00A86354" w:rsidR="00A10C85">
        <w:rPr>
          <w:rFonts w:ascii="Arial" w:hAnsi="Arial" w:cs="Arial"/>
          <w:sz w:val="20"/>
          <w:szCs w:val="20"/>
          <w:lang w:val="fr-FR"/>
        </w:rPr>
        <w:t>Évaluation et prévention des risques sociaux et médico-sociaux, information, investigation, conseil, orientation, formation, médiation et réparation</w:t>
      </w:r>
      <w:r w:rsidRPr="00A86354" w:rsidR="000807D5">
        <w:rPr>
          <w:rFonts w:ascii="Arial" w:hAnsi="Arial" w:cs="Arial"/>
          <w:sz w:val="20"/>
          <w:szCs w:val="20"/>
          <w:lang w:val="fr-FR"/>
        </w:rPr>
        <w:t> ;</w:t>
      </w:r>
    </w:p>
    <w:p w:rsidRPr="00A86354" w:rsidR="00096CBE" w:rsidP="00A86354" w:rsidRDefault="00096CBE" w14:paraId="2D86C103" w14:textId="77777777">
      <w:pPr>
        <w:ind w:left="709"/>
        <w:rPr>
          <w:rFonts w:ascii="Arial" w:hAnsi="Arial" w:cs="Arial"/>
          <w:sz w:val="20"/>
          <w:szCs w:val="20"/>
          <w:lang w:val="fr-FR"/>
        </w:rPr>
      </w:pPr>
    </w:p>
    <w:p w:rsidRPr="00A86354" w:rsidR="00096CBE" w:rsidP="00A86354" w:rsidRDefault="00023EDC" w14:paraId="25A75E9E" w14:textId="7F9D072B">
      <w:pPr>
        <w:ind w:left="709"/>
        <w:rPr>
          <w:rFonts w:ascii="Arial" w:hAnsi="Arial" w:cs="Arial"/>
          <w:sz w:val="20"/>
          <w:szCs w:val="20"/>
          <w:lang w:val="fr-FR"/>
        </w:rPr>
      </w:pPr>
      <w:r w:rsidRPr="00A86354">
        <w:rPr>
          <w:rFonts w:ascii="Arial" w:hAnsi="Arial" w:cs="Arial"/>
          <w:sz w:val="20"/>
          <w:szCs w:val="20"/>
          <w:lang w:val="fr-FR"/>
        </w:rPr>
        <w:t>(2)</w:t>
      </w:r>
      <w:r w:rsidRPr="00A86354" w:rsidR="00096CBE">
        <w:rPr>
          <w:rFonts w:ascii="Arial" w:hAnsi="Arial" w:cs="Arial"/>
          <w:sz w:val="20"/>
          <w:szCs w:val="20"/>
          <w:lang w:val="fr-FR"/>
        </w:rPr>
        <w:t xml:space="preserve"> </w:t>
      </w:r>
      <w:r w:rsidRPr="00A86354" w:rsidR="00A10C85">
        <w:rPr>
          <w:rFonts w:ascii="Arial" w:hAnsi="Arial" w:cs="Arial"/>
          <w:sz w:val="20"/>
          <w:szCs w:val="20"/>
          <w:lang w:val="fr-FR"/>
        </w:rPr>
        <w:t>Protection administrative ou judiciaire de l</w:t>
      </w:r>
      <w:r w:rsidRPr="00A86354" w:rsidR="0006032C">
        <w:rPr>
          <w:rFonts w:ascii="Arial" w:hAnsi="Arial" w:cs="Arial"/>
          <w:sz w:val="20"/>
          <w:szCs w:val="20"/>
          <w:lang w:val="fr-FR"/>
        </w:rPr>
        <w:t>’</w:t>
      </w:r>
      <w:r w:rsidRPr="00A86354" w:rsidR="00A10C85">
        <w:rPr>
          <w:rFonts w:ascii="Arial" w:hAnsi="Arial" w:cs="Arial"/>
          <w:sz w:val="20"/>
          <w:szCs w:val="20"/>
          <w:lang w:val="fr-FR"/>
        </w:rPr>
        <w:t>enfance et de la famille, de la jeunesse, des personnes handicapées, des personnes âgées ou en difficulté</w:t>
      </w:r>
      <w:r w:rsidRPr="00A86354" w:rsidR="000807D5">
        <w:rPr>
          <w:rFonts w:ascii="Arial" w:hAnsi="Arial" w:cs="Arial"/>
          <w:sz w:val="20"/>
          <w:szCs w:val="20"/>
          <w:lang w:val="fr-FR"/>
        </w:rPr>
        <w:t> ;</w:t>
      </w:r>
    </w:p>
    <w:p w:rsidRPr="00A86354" w:rsidR="00096CBE" w:rsidP="00A86354" w:rsidRDefault="00096CBE" w14:paraId="20E594AA" w14:textId="77777777">
      <w:pPr>
        <w:ind w:left="709"/>
        <w:rPr>
          <w:rFonts w:ascii="Arial" w:hAnsi="Arial" w:cs="Arial"/>
          <w:sz w:val="20"/>
          <w:szCs w:val="20"/>
          <w:lang w:val="fr-FR"/>
        </w:rPr>
      </w:pPr>
    </w:p>
    <w:p w:rsidRPr="00A86354" w:rsidR="00096CBE" w:rsidP="00A86354" w:rsidRDefault="00023EDC" w14:paraId="2284F941" w14:textId="2D443EBA">
      <w:pPr>
        <w:ind w:left="709"/>
        <w:rPr>
          <w:rFonts w:ascii="Arial" w:hAnsi="Arial" w:cs="Arial"/>
          <w:sz w:val="20"/>
          <w:szCs w:val="20"/>
          <w:lang w:val="fr-FR"/>
        </w:rPr>
      </w:pPr>
      <w:r w:rsidRPr="00A86354">
        <w:rPr>
          <w:rFonts w:ascii="Arial" w:hAnsi="Arial" w:cs="Arial"/>
          <w:sz w:val="20"/>
          <w:szCs w:val="20"/>
          <w:lang w:val="fr-FR"/>
        </w:rPr>
        <w:t>(3)</w:t>
      </w:r>
      <w:r w:rsidRPr="00A86354" w:rsidR="00096CBE">
        <w:rPr>
          <w:rFonts w:ascii="Arial" w:hAnsi="Arial" w:cs="Arial"/>
          <w:sz w:val="20"/>
          <w:szCs w:val="20"/>
          <w:lang w:val="fr-FR"/>
        </w:rPr>
        <w:t xml:space="preserve"> </w:t>
      </w:r>
      <w:r w:rsidRPr="00A86354" w:rsidR="00A10C85">
        <w:rPr>
          <w:rFonts w:ascii="Arial" w:hAnsi="Arial" w:cs="Arial"/>
          <w:sz w:val="20"/>
          <w:szCs w:val="20"/>
          <w:lang w:val="fr-FR"/>
        </w:rPr>
        <w:t>Actions éducatives, médico-éducatives, médicales, thérapeutiques, pédagogiques et de formation adaptées aux besoins de la personne, à son niveau de développement, à ses potentialités, à l</w:t>
      </w:r>
      <w:r w:rsidRPr="00A86354" w:rsidR="0006032C">
        <w:rPr>
          <w:rFonts w:ascii="Arial" w:hAnsi="Arial" w:cs="Arial"/>
          <w:sz w:val="20"/>
          <w:szCs w:val="20"/>
          <w:lang w:val="fr-FR"/>
        </w:rPr>
        <w:t>’</w:t>
      </w:r>
      <w:r w:rsidRPr="00A86354" w:rsidR="00A10C85">
        <w:rPr>
          <w:rFonts w:ascii="Arial" w:hAnsi="Arial" w:cs="Arial"/>
          <w:sz w:val="20"/>
          <w:szCs w:val="20"/>
          <w:lang w:val="fr-FR"/>
        </w:rPr>
        <w:t>évolution de son état ainsi qu</w:t>
      </w:r>
      <w:r w:rsidRPr="00A86354" w:rsidR="0006032C">
        <w:rPr>
          <w:rFonts w:ascii="Arial" w:hAnsi="Arial" w:cs="Arial"/>
          <w:sz w:val="20"/>
          <w:szCs w:val="20"/>
          <w:lang w:val="fr-FR"/>
        </w:rPr>
        <w:t>’</w:t>
      </w:r>
      <w:r w:rsidRPr="00A86354" w:rsidR="00A10C85">
        <w:rPr>
          <w:rFonts w:ascii="Arial" w:hAnsi="Arial" w:cs="Arial"/>
          <w:sz w:val="20"/>
          <w:szCs w:val="20"/>
          <w:lang w:val="fr-FR"/>
        </w:rPr>
        <w:t>à son âge</w:t>
      </w:r>
      <w:r w:rsidRPr="00A86354" w:rsidR="000807D5">
        <w:rPr>
          <w:rFonts w:ascii="Arial" w:hAnsi="Arial" w:cs="Arial"/>
          <w:sz w:val="20"/>
          <w:szCs w:val="20"/>
          <w:lang w:val="fr-FR"/>
        </w:rPr>
        <w:t> ;</w:t>
      </w:r>
    </w:p>
    <w:p w:rsidRPr="00A86354" w:rsidR="00096CBE" w:rsidP="00A86354" w:rsidRDefault="00096CBE" w14:paraId="625AEEA1" w14:textId="77777777">
      <w:pPr>
        <w:ind w:left="709"/>
        <w:rPr>
          <w:rFonts w:ascii="Arial" w:hAnsi="Arial" w:cs="Arial"/>
          <w:sz w:val="20"/>
          <w:szCs w:val="20"/>
          <w:lang w:val="fr-FR"/>
        </w:rPr>
      </w:pPr>
    </w:p>
    <w:p w:rsidRPr="00A86354" w:rsidR="00096CBE" w:rsidP="00A86354" w:rsidRDefault="00023EDC" w14:paraId="55818348" w14:textId="3350C9F7">
      <w:pPr>
        <w:ind w:left="709"/>
        <w:rPr>
          <w:rFonts w:ascii="Arial" w:hAnsi="Arial" w:cs="Arial"/>
          <w:sz w:val="20"/>
          <w:szCs w:val="20"/>
          <w:lang w:val="fr-FR"/>
        </w:rPr>
      </w:pPr>
      <w:r w:rsidRPr="00A86354">
        <w:rPr>
          <w:rFonts w:ascii="Arial" w:hAnsi="Arial" w:cs="Arial"/>
          <w:sz w:val="20"/>
          <w:szCs w:val="20"/>
          <w:lang w:val="fr-FR"/>
        </w:rPr>
        <w:t>(4)</w:t>
      </w:r>
      <w:r w:rsidRPr="00A86354" w:rsidR="00096CBE">
        <w:rPr>
          <w:rFonts w:ascii="Arial" w:hAnsi="Arial" w:cs="Arial"/>
          <w:sz w:val="20"/>
          <w:szCs w:val="20"/>
          <w:lang w:val="fr-FR"/>
        </w:rPr>
        <w:t xml:space="preserve"> </w:t>
      </w:r>
      <w:r w:rsidRPr="00A86354" w:rsidR="00A10C85">
        <w:rPr>
          <w:rFonts w:ascii="Arial" w:hAnsi="Arial" w:cs="Arial"/>
          <w:sz w:val="20"/>
          <w:szCs w:val="20"/>
          <w:lang w:val="fr-FR"/>
        </w:rPr>
        <w:t>Actions d</w:t>
      </w:r>
      <w:r w:rsidRPr="00A86354" w:rsidR="0006032C">
        <w:rPr>
          <w:rFonts w:ascii="Arial" w:hAnsi="Arial" w:cs="Arial"/>
          <w:sz w:val="20"/>
          <w:szCs w:val="20"/>
          <w:lang w:val="fr-FR"/>
        </w:rPr>
        <w:t>’</w:t>
      </w:r>
      <w:r w:rsidRPr="00A86354" w:rsidR="00A10C85">
        <w:rPr>
          <w:rFonts w:ascii="Arial" w:hAnsi="Arial" w:cs="Arial"/>
          <w:sz w:val="20"/>
          <w:szCs w:val="20"/>
          <w:lang w:val="fr-FR"/>
        </w:rPr>
        <w:t>intégration scolaire, d</w:t>
      </w:r>
      <w:r w:rsidRPr="00A86354" w:rsidR="0006032C">
        <w:rPr>
          <w:rFonts w:ascii="Arial" w:hAnsi="Arial" w:cs="Arial"/>
          <w:sz w:val="20"/>
          <w:szCs w:val="20"/>
          <w:lang w:val="fr-FR"/>
        </w:rPr>
        <w:t>’</w:t>
      </w:r>
      <w:r w:rsidRPr="00A86354" w:rsidR="00A10C85">
        <w:rPr>
          <w:rFonts w:ascii="Arial" w:hAnsi="Arial" w:cs="Arial"/>
          <w:sz w:val="20"/>
          <w:szCs w:val="20"/>
          <w:lang w:val="fr-FR"/>
        </w:rPr>
        <w:t>adaptation, de réadaptation, d</w:t>
      </w:r>
      <w:r w:rsidRPr="00A86354" w:rsidR="0006032C">
        <w:rPr>
          <w:rFonts w:ascii="Arial" w:hAnsi="Arial" w:cs="Arial"/>
          <w:sz w:val="20"/>
          <w:szCs w:val="20"/>
          <w:lang w:val="fr-FR"/>
        </w:rPr>
        <w:t>’</w:t>
      </w:r>
      <w:r w:rsidRPr="00A86354" w:rsidR="00A10C85">
        <w:rPr>
          <w:rFonts w:ascii="Arial" w:hAnsi="Arial" w:cs="Arial"/>
          <w:sz w:val="20"/>
          <w:szCs w:val="20"/>
          <w:lang w:val="fr-FR"/>
        </w:rPr>
        <w:t>insertion, de réinsertion sociales et professionnelles, d</w:t>
      </w:r>
      <w:r w:rsidRPr="00A86354" w:rsidR="0006032C">
        <w:rPr>
          <w:rFonts w:ascii="Arial" w:hAnsi="Arial" w:cs="Arial"/>
          <w:sz w:val="20"/>
          <w:szCs w:val="20"/>
          <w:lang w:val="fr-FR"/>
        </w:rPr>
        <w:t>’</w:t>
      </w:r>
      <w:r w:rsidRPr="00A86354" w:rsidR="00A10C85">
        <w:rPr>
          <w:rFonts w:ascii="Arial" w:hAnsi="Arial" w:cs="Arial"/>
          <w:sz w:val="20"/>
          <w:szCs w:val="20"/>
          <w:lang w:val="fr-FR"/>
        </w:rPr>
        <w:t>aide à la vie active, d</w:t>
      </w:r>
      <w:r w:rsidRPr="00A86354" w:rsidR="0006032C">
        <w:rPr>
          <w:rFonts w:ascii="Arial" w:hAnsi="Arial" w:cs="Arial"/>
          <w:sz w:val="20"/>
          <w:szCs w:val="20"/>
          <w:lang w:val="fr-FR"/>
        </w:rPr>
        <w:t>’</w:t>
      </w:r>
      <w:r w:rsidRPr="00A86354" w:rsidR="00A10C85">
        <w:rPr>
          <w:rFonts w:ascii="Arial" w:hAnsi="Arial" w:cs="Arial"/>
          <w:sz w:val="20"/>
          <w:szCs w:val="20"/>
          <w:lang w:val="fr-FR"/>
        </w:rPr>
        <w:t>information et de conseil sur les aides techniques ainsi que d</w:t>
      </w:r>
      <w:r w:rsidRPr="00A86354" w:rsidR="0006032C">
        <w:rPr>
          <w:rFonts w:ascii="Arial" w:hAnsi="Arial" w:cs="Arial"/>
          <w:sz w:val="20"/>
          <w:szCs w:val="20"/>
          <w:lang w:val="fr-FR"/>
        </w:rPr>
        <w:t>’</w:t>
      </w:r>
      <w:r w:rsidRPr="00A86354" w:rsidR="00A10C85">
        <w:rPr>
          <w:rFonts w:ascii="Arial" w:hAnsi="Arial" w:cs="Arial"/>
          <w:sz w:val="20"/>
          <w:szCs w:val="20"/>
          <w:lang w:val="fr-FR"/>
        </w:rPr>
        <w:t>aide au travail</w:t>
      </w:r>
      <w:r w:rsidRPr="00A86354" w:rsidR="000807D5">
        <w:rPr>
          <w:rFonts w:ascii="Arial" w:hAnsi="Arial" w:cs="Arial"/>
          <w:sz w:val="20"/>
          <w:szCs w:val="20"/>
          <w:lang w:val="fr-FR"/>
        </w:rPr>
        <w:t> ;</w:t>
      </w:r>
    </w:p>
    <w:p w:rsidRPr="00A86354" w:rsidR="00096CBE" w:rsidP="00A86354" w:rsidRDefault="00096CBE" w14:paraId="64965777" w14:textId="77777777">
      <w:pPr>
        <w:ind w:left="709"/>
        <w:rPr>
          <w:rFonts w:ascii="Arial" w:hAnsi="Arial" w:cs="Arial"/>
          <w:sz w:val="20"/>
          <w:szCs w:val="20"/>
          <w:lang w:val="fr-FR"/>
        </w:rPr>
      </w:pPr>
    </w:p>
    <w:p w:rsidRPr="00A86354" w:rsidR="00096CBE" w:rsidP="00A86354" w:rsidRDefault="00023EDC" w14:paraId="76A66929" w14:textId="44D31B66">
      <w:pPr>
        <w:ind w:left="709"/>
        <w:rPr>
          <w:rFonts w:ascii="Arial" w:hAnsi="Arial" w:cs="Arial"/>
          <w:sz w:val="20"/>
          <w:szCs w:val="20"/>
          <w:lang w:val="fr-FR"/>
        </w:rPr>
      </w:pPr>
      <w:r w:rsidRPr="00A86354">
        <w:rPr>
          <w:rFonts w:ascii="Arial" w:hAnsi="Arial" w:cs="Arial"/>
          <w:sz w:val="20"/>
          <w:szCs w:val="20"/>
          <w:lang w:val="fr-FR"/>
        </w:rPr>
        <w:t>(5)</w:t>
      </w:r>
      <w:r w:rsidRPr="00A86354" w:rsidR="00096CBE">
        <w:rPr>
          <w:rFonts w:ascii="Arial" w:hAnsi="Arial" w:cs="Arial"/>
          <w:sz w:val="20"/>
          <w:szCs w:val="20"/>
          <w:lang w:val="fr-FR"/>
        </w:rPr>
        <w:t xml:space="preserve"> </w:t>
      </w:r>
      <w:r w:rsidRPr="00A86354" w:rsidR="00A10C85">
        <w:rPr>
          <w:rFonts w:ascii="Arial" w:hAnsi="Arial" w:cs="Arial"/>
          <w:sz w:val="20"/>
          <w:szCs w:val="20"/>
          <w:lang w:val="fr-FR"/>
        </w:rPr>
        <w:t>Actions d</w:t>
      </w:r>
      <w:r w:rsidRPr="00A86354" w:rsidR="0006032C">
        <w:rPr>
          <w:rFonts w:ascii="Arial" w:hAnsi="Arial" w:cs="Arial"/>
          <w:sz w:val="20"/>
          <w:szCs w:val="20"/>
          <w:lang w:val="fr-FR"/>
        </w:rPr>
        <w:t>’</w:t>
      </w:r>
      <w:r w:rsidRPr="00A86354" w:rsidR="00A10C85">
        <w:rPr>
          <w:rFonts w:ascii="Arial" w:hAnsi="Arial" w:cs="Arial"/>
          <w:sz w:val="20"/>
          <w:szCs w:val="20"/>
          <w:lang w:val="fr-FR"/>
        </w:rPr>
        <w:t>intégration scolaire, d</w:t>
      </w:r>
      <w:r w:rsidRPr="00A86354" w:rsidR="0006032C">
        <w:rPr>
          <w:rFonts w:ascii="Arial" w:hAnsi="Arial" w:cs="Arial"/>
          <w:sz w:val="20"/>
          <w:szCs w:val="20"/>
          <w:lang w:val="fr-FR"/>
        </w:rPr>
        <w:t>’</w:t>
      </w:r>
      <w:r w:rsidRPr="00A86354" w:rsidR="00A10C85">
        <w:rPr>
          <w:rFonts w:ascii="Arial" w:hAnsi="Arial" w:cs="Arial"/>
          <w:sz w:val="20"/>
          <w:szCs w:val="20"/>
          <w:lang w:val="fr-FR"/>
        </w:rPr>
        <w:t>adaptation, de réadaptation, d</w:t>
      </w:r>
      <w:r w:rsidRPr="00A86354" w:rsidR="0006032C">
        <w:rPr>
          <w:rFonts w:ascii="Arial" w:hAnsi="Arial" w:cs="Arial"/>
          <w:sz w:val="20"/>
          <w:szCs w:val="20"/>
          <w:lang w:val="fr-FR"/>
        </w:rPr>
        <w:t>’</w:t>
      </w:r>
      <w:r w:rsidRPr="00A86354" w:rsidR="00A10C85">
        <w:rPr>
          <w:rFonts w:ascii="Arial" w:hAnsi="Arial" w:cs="Arial"/>
          <w:sz w:val="20"/>
          <w:szCs w:val="20"/>
          <w:lang w:val="fr-FR"/>
        </w:rPr>
        <w:t>insertion, de réinsertion sociales et professionnelles, d</w:t>
      </w:r>
      <w:r w:rsidRPr="00A86354" w:rsidR="0006032C">
        <w:rPr>
          <w:rFonts w:ascii="Arial" w:hAnsi="Arial" w:cs="Arial"/>
          <w:sz w:val="20"/>
          <w:szCs w:val="20"/>
          <w:lang w:val="fr-FR"/>
        </w:rPr>
        <w:t>’</w:t>
      </w:r>
      <w:r w:rsidRPr="00A86354" w:rsidR="00A10C85">
        <w:rPr>
          <w:rFonts w:ascii="Arial" w:hAnsi="Arial" w:cs="Arial"/>
          <w:sz w:val="20"/>
          <w:szCs w:val="20"/>
          <w:lang w:val="fr-FR"/>
        </w:rPr>
        <w:t>aide à la vie active, d</w:t>
      </w:r>
      <w:r w:rsidRPr="00A86354" w:rsidR="0006032C">
        <w:rPr>
          <w:rFonts w:ascii="Arial" w:hAnsi="Arial" w:cs="Arial"/>
          <w:sz w:val="20"/>
          <w:szCs w:val="20"/>
          <w:lang w:val="fr-FR"/>
        </w:rPr>
        <w:t>’</w:t>
      </w:r>
      <w:r w:rsidRPr="00A86354" w:rsidR="00A10C85">
        <w:rPr>
          <w:rFonts w:ascii="Arial" w:hAnsi="Arial" w:cs="Arial"/>
          <w:sz w:val="20"/>
          <w:szCs w:val="20"/>
          <w:lang w:val="fr-FR"/>
        </w:rPr>
        <w:t>information et de conseil sur les aides techniques ainsi que d</w:t>
      </w:r>
      <w:r w:rsidRPr="00A86354" w:rsidR="0006032C">
        <w:rPr>
          <w:rFonts w:ascii="Arial" w:hAnsi="Arial" w:cs="Arial"/>
          <w:sz w:val="20"/>
          <w:szCs w:val="20"/>
          <w:lang w:val="fr-FR"/>
        </w:rPr>
        <w:t>’</w:t>
      </w:r>
      <w:r w:rsidRPr="00A86354" w:rsidR="00A10C85">
        <w:rPr>
          <w:rFonts w:ascii="Arial" w:hAnsi="Arial" w:cs="Arial"/>
          <w:sz w:val="20"/>
          <w:szCs w:val="20"/>
          <w:lang w:val="fr-FR"/>
        </w:rPr>
        <w:t>aide au travail</w:t>
      </w:r>
      <w:r w:rsidRPr="00A86354" w:rsidR="000807D5">
        <w:rPr>
          <w:rFonts w:ascii="Arial" w:hAnsi="Arial" w:cs="Arial"/>
          <w:sz w:val="20"/>
          <w:szCs w:val="20"/>
          <w:lang w:val="fr-FR"/>
        </w:rPr>
        <w:t> ;</w:t>
      </w:r>
    </w:p>
    <w:p w:rsidRPr="00A86354" w:rsidR="00096CBE" w:rsidP="00A86354" w:rsidRDefault="00096CBE" w14:paraId="691D508A" w14:textId="77777777">
      <w:pPr>
        <w:ind w:left="709"/>
        <w:rPr>
          <w:rFonts w:ascii="Arial" w:hAnsi="Arial" w:cs="Arial"/>
          <w:sz w:val="20"/>
          <w:szCs w:val="20"/>
          <w:lang w:val="fr-FR"/>
        </w:rPr>
      </w:pPr>
    </w:p>
    <w:p w:rsidRPr="00A86354" w:rsidR="00096CBE" w:rsidP="00A86354" w:rsidRDefault="00023EDC" w14:paraId="24A7A7B5" w14:textId="2D6E535D">
      <w:pPr>
        <w:ind w:left="709"/>
        <w:rPr>
          <w:rFonts w:ascii="Arial" w:hAnsi="Arial" w:cs="Arial"/>
          <w:sz w:val="20"/>
          <w:szCs w:val="20"/>
          <w:lang w:val="fr-FR"/>
        </w:rPr>
      </w:pPr>
      <w:r w:rsidRPr="00A86354">
        <w:rPr>
          <w:rFonts w:ascii="Arial" w:hAnsi="Arial" w:cs="Arial"/>
          <w:sz w:val="20"/>
          <w:szCs w:val="20"/>
          <w:lang w:val="fr-FR"/>
        </w:rPr>
        <w:t>(6)</w:t>
      </w:r>
      <w:r w:rsidRPr="00A86354" w:rsidR="00096CBE">
        <w:rPr>
          <w:rFonts w:ascii="Arial" w:hAnsi="Arial" w:cs="Arial"/>
          <w:sz w:val="20"/>
          <w:szCs w:val="20"/>
          <w:lang w:val="fr-FR"/>
        </w:rPr>
        <w:t xml:space="preserve"> Actions </w:t>
      </w:r>
      <w:r w:rsidRPr="00A86354" w:rsidR="00A10C85">
        <w:rPr>
          <w:rFonts w:ascii="Arial" w:hAnsi="Arial" w:cs="Arial"/>
          <w:sz w:val="20"/>
          <w:szCs w:val="20"/>
          <w:lang w:val="fr-FR"/>
        </w:rPr>
        <w:t>contribuant au développement social et culturel et à l</w:t>
      </w:r>
      <w:r w:rsidRPr="00A86354" w:rsidR="0006032C">
        <w:rPr>
          <w:rFonts w:ascii="Arial" w:hAnsi="Arial" w:cs="Arial"/>
          <w:sz w:val="20"/>
          <w:szCs w:val="20"/>
          <w:lang w:val="fr-FR"/>
        </w:rPr>
        <w:t>’</w:t>
      </w:r>
      <w:r w:rsidRPr="00A86354" w:rsidR="00A10C85">
        <w:rPr>
          <w:rFonts w:ascii="Arial" w:hAnsi="Arial" w:cs="Arial"/>
          <w:sz w:val="20"/>
          <w:szCs w:val="20"/>
          <w:lang w:val="fr-FR"/>
        </w:rPr>
        <w:t>insertion par l</w:t>
      </w:r>
      <w:r w:rsidRPr="00A86354" w:rsidR="0006032C">
        <w:rPr>
          <w:rFonts w:ascii="Arial" w:hAnsi="Arial" w:cs="Arial"/>
          <w:sz w:val="20"/>
          <w:szCs w:val="20"/>
          <w:lang w:val="fr-FR"/>
        </w:rPr>
        <w:t>’</w:t>
      </w:r>
      <w:r w:rsidRPr="00A86354" w:rsidR="00A10C85">
        <w:rPr>
          <w:rFonts w:ascii="Arial" w:hAnsi="Arial" w:cs="Arial"/>
          <w:sz w:val="20"/>
          <w:szCs w:val="20"/>
          <w:lang w:val="fr-FR"/>
        </w:rPr>
        <w:t>activité économique.</w:t>
      </w:r>
    </w:p>
    <w:p w:rsidRPr="00A86354" w:rsidR="00096CBE" w:rsidP="00096CBE" w:rsidRDefault="00096CBE" w14:paraId="2D4C4F17" w14:textId="77777777">
      <w:pPr>
        <w:rPr>
          <w:rFonts w:ascii="Arial" w:hAnsi="Arial" w:cs="Arial"/>
          <w:b/>
          <w:bCs/>
          <w:lang w:val="fr-FR"/>
        </w:rPr>
      </w:pPr>
    </w:p>
    <w:p w:rsidRPr="00A86354" w:rsidR="00023EDC" w:rsidP="00CE016A" w:rsidRDefault="008D4B99" w14:paraId="6F8E8FB8" w14:textId="10A0FF03">
      <w:pPr>
        <w:pStyle w:val="ListParagraph"/>
        <w:numPr>
          <w:ilvl w:val="0"/>
          <w:numId w:val="1"/>
        </w:numPr>
        <w:ind w:left="0" w:firstLine="0"/>
        <w:rPr>
          <w:rFonts w:cs="Arial"/>
          <w:lang w:val="fr-FR"/>
        </w:rPr>
      </w:pPr>
      <w:r w:rsidRPr="00A86354">
        <w:rPr>
          <w:rFonts w:cs="Arial"/>
          <w:lang w:val="fr-FR"/>
        </w:rPr>
        <w:lastRenderedPageBreak/>
        <w:t xml:space="preserve">En pratique, des </w:t>
      </w:r>
      <w:r w:rsidRPr="00A86354" w:rsidR="00BC23CB">
        <w:rPr>
          <w:rFonts w:cs="Arial"/>
          <w:lang w:val="fr-FR"/>
        </w:rPr>
        <w:t>ESMS</w:t>
      </w:r>
      <w:r w:rsidRPr="00A86354">
        <w:rPr>
          <w:rFonts w:cs="Arial"/>
          <w:lang w:val="fr-FR"/>
        </w:rPr>
        <w:t xml:space="preserve"> divers et nombreux accueillent les personnes handicapées pour s</w:t>
      </w:r>
      <w:r w:rsidRPr="00A86354" w:rsidR="0006032C">
        <w:rPr>
          <w:rFonts w:cs="Arial"/>
          <w:lang w:val="fr-FR"/>
        </w:rPr>
        <w:t>’</w:t>
      </w:r>
      <w:r w:rsidRPr="00A86354">
        <w:rPr>
          <w:rFonts w:cs="Arial"/>
          <w:lang w:val="fr-FR"/>
        </w:rPr>
        <w:t xml:space="preserve">adapter aux besoins de chacun. </w:t>
      </w:r>
      <w:r w:rsidRPr="00A86354" w:rsidR="00BC23CB">
        <w:rPr>
          <w:rFonts w:cs="Arial"/>
          <w:lang w:val="fr-FR"/>
        </w:rPr>
        <w:t>Ils proposent des services de soins à domicile, mais aussi des</w:t>
      </w:r>
      <w:r w:rsidRPr="00A86354">
        <w:rPr>
          <w:rFonts w:cs="Arial"/>
          <w:lang w:val="fr-FR"/>
        </w:rPr>
        <w:t xml:space="preserve"> </w:t>
      </w:r>
      <w:r w:rsidRPr="00A86354" w:rsidR="00BC23CB">
        <w:rPr>
          <w:rFonts w:cs="Arial"/>
          <w:lang w:val="fr-FR"/>
        </w:rPr>
        <w:t xml:space="preserve">lieux destinés à </w:t>
      </w:r>
      <w:r w:rsidRPr="00A86354" w:rsidR="008F0802">
        <w:rPr>
          <w:rFonts w:cs="Arial"/>
          <w:lang w:val="fr-FR"/>
        </w:rPr>
        <w:t>l</w:t>
      </w:r>
      <w:r w:rsidRPr="00A86354" w:rsidR="0006032C">
        <w:rPr>
          <w:rFonts w:cs="Arial"/>
          <w:lang w:val="fr-FR"/>
        </w:rPr>
        <w:t>’</w:t>
      </w:r>
      <w:r w:rsidRPr="00A86354" w:rsidR="008F0802">
        <w:rPr>
          <w:rFonts w:cs="Arial"/>
          <w:lang w:val="fr-FR"/>
        </w:rPr>
        <w:t>accueil résidentiel ou semi-résidentiel des</w:t>
      </w:r>
      <w:r w:rsidRPr="00A86354" w:rsidR="00BC23CB">
        <w:rPr>
          <w:rFonts w:cs="Arial"/>
          <w:lang w:val="fr-FR"/>
        </w:rPr>
        <w:t xml:space="preserve"> personnes handicapées</w:t>
      </w:r>
      <w:r w:rsidRPr="00A86354">
        <w:rPr>
          <w:rFonts w:cs="Arial"/>
          <w:lang w:val="fr-FR"/>
        </w:rPr>
        <w:t xml:space="preserve">, </w:t>
      </w:r>
      <w:r w:rsidRPr="00A86354" w:rsidR="00BC23CB">
        <w:rPr>
          <w:rFonts w:cs="Arial"/>
          <w:lang w:val="fr-FR"/>
        </w:rPr>
        <w:t>ou à l</w:t>
      </w:r>
      <w:r w:rsidRPr="00A86354" w:rsidR="0006032C">
        <w:rPr>
          <w:rFonts w:cs="Arial"/>
          <w:lang w:val="fr-FR"/>
        </w:rPr>
        <w:t>’</w:t>
      </w:r>
      <w:r w:rsidRPr="00A86354" w:rsidR="00BC23CB">
        <w:rPr>
          <w:rFonts w:cs="Arial"/>
          <w:lang w:val="fr-FR"/>
        </w:rPr>
        <w:t>accueil temporaire ou de jour</w:t>
      </w:r>
      <w:r w:rsidRPr="00A86354">
        <w:rPr>
          <w:rFonts w:cs="Arial"/>
          <w:lang w:val="fr-FR"/>
        </w:rPr>
        <w:t xml:space="preserve">. </w:t>
      </w:r>
      <w:r w:rsidRPr="00A86354" w:rsidR="008F0802">
        <w:rPr>
          <w:rFonts w:cs="Arial"/>
          <w:lang w:val="fr-FR"/>
        </w:rPr>
        <w:t>Les</w:t>
      </w:r>
      <w:r w:rsidRPr="00A86354">
        <w:rPr>
          <w:rFonts w:cs="Arial"/>
          <w:lang w:val="fr-FR"/>
        </w:rPr>
        <w:t xml:space="preserve"> MDPH </w:t>
      </w:r>
      <w:r w:rsidRPr="00A86354" w:rsidR="008F0802">
        <w:rPr>
          <w:rFonts w:cs="Arial"/>
          <w:lang w:val="fr-FR"/>
        </w:rPr>
        <w:t>ont pour mission d</w:t>
      </w:r>
      <w:r w:rsidRPr="00A86354" w:rsidR="0006032C">
        <w:rPr>
          <w:rFonts w:cs="Arial"/>
          <w:lang w:val="fr-FR"/>
        </w:rPr>
        <w:t>’</w:t>
      </w:r>
      <w:r w:rsidRPr="00A86354" w:rsidR="008F0802">
        <w:rPr>
          <w:rFonts w:cs="Arial"/>
          <w:lang w:val="fr-FR"/>
        </w:rPr>
        <w:t>informer les personnes handicapées</w:t>
      </w:r>
      <w:r w:rsidRPr="00A86354">
        <w:rPr>
          <w:rFonts w:cs="Arial"/>
          <w:lang w:val="fr-FR"/>
        </w:rPr>
        <w:t xml:space="preserve">, </w:t>
      </w:r>
      <w:r w:rsidRPr="00A86354" w:rsidR="00FB3042">
        <w:rPr>
          <w:rFonts w:cs="Arial"/>
          <w:lang w:val="fr-FR"/>
        </w:rPr>
        <w:t>d</w:t>
      </w:r>
      <w:r w:rsidRPr="00A86354" w:rsidR="0006032C">
        <w:rPr>
          <w:rFonts w:cs="Arial"/>
          <w:lang w:val="fr-FR"/>
        </w:rPr>
        <w:t>’</w:t>
      </w:r>
      <w:r w:rsidRPr="00A86354" w:rsidR="00FB3042">
        <w:rPr>
          <w:rFonts w:cs="Arial"/>
          <w:lang w:val="fr-FR"/>
        </w:rPr>
        <w:t>évaluer</w:t>
      </w:r>
      <w:r w:rsidRPr="00A86354" w:rsidR="008F0802">
        <w:rPr>
          <w:rFonts w:cs="Arial"/>
          <w:lang w:val="fr-FR"/>
        </w:rPr>
        <w:t xml:space="preserve"> leurs besoins</w:t>
      </w:r>
      <w:r w:rsidRPr="00A86354">
        <w:rPr>
          <w:rFonts w:cs="Arial"/>
          <w:lang w:val="fr-FR"/>
        </w:rPr>
        <w:t xml:space="preserve"> </w:t>
      </w:r>
      <w:r w:rsidRPr="00A86354" w:rsidR="008E12F2">
        <w:rPr>
          <w:rFonts w:cs="Arial"/>
          <w:lang w:val="fr-FR"/>
        </w:rPr>
        <w:t>et</w:t>
      </w:r>
      <w:r w:rsidRPr="00A86354">
        <w:rPr>
          <w:rFonts w:cs="Arial"/>
          <w:lang w:val="fr-FR"/>
        </w:rPr>
        <w:t xml:space="preserve"> </w:t>
      </w:r>
      <w:r w:rsidRPr="00A86354" w:rsidR="008E12F2">
        <w:rPr>
          <w:rFonts w:cs="Arial"/>
          <w:lang w:val="fr-FR"/>
        </w:rPr>
        <w:t>de leur proposer des</w:t>
      </w:r>
      <w:r w:rsidRPr="00A86354">
        <w:rPr>
          <w:rFonts w:cs="Arial"/>
          <w:lang w:val="fr-FR"/>
        </w:rPr>
        <w:t xml:space="preserve"> solutions adapt</w:t>
      </w:r>
      <w:r w:rsidRPr="00A86354" w:rsidR="008E12F2">
        <w:rPr>
          <w:rFonts w:cs="Arial"/>
          <w:lang w:val="fr-FR"/>
        </w:rPr>
        <w:t>ées à leur</w:t>
      </w:r>
      <w:r w:rsidRPr="00A86354">
        <w:rPr>
          <w:rFonts w:cs="Arial"/>
          <w:lang w:val="fr-FR"/>
        </w:rPr>
        <w:t xml:space="preserve"> situation </w:t>
      </w:r>
      <w:r w:rsidRPr="00A86354" w:rsidR="008E12F2">
        <w:rPr>
          <w:rFonts w:cs="Arial"/>
          <w:lang w:val="fr-FR"/>
        </w:rPr>
        <w:t>et à leur projet de vie</w:t>
      </w:r>
      <w:r w:rsidRPr="00A86354">
        <w:rPr>
          <w:rFonts w:cs="Arial"/>
          <w:lang w:val="fr-FR"/>
        </w:rPr>
        <w:t xml:space="preserve">. </w:t>
      </w:r>
      <w:r w:rsidRPr="00A86354" w:rsidR="001900BB">
        <w:rPr>
          <w:rFonts w:cs="Arial"/>
          <w:lang w:val="fr-FR"/>
        </w:rPr>
        <w:t>Elles</w:t>
      </w:r>
      <w:r w:rsidRPr="00A86354">
        <w:rPr>
          <w:rFonts w:cs="Arial"/>
          <w:lang w:val="fr-FR"/>
        </w:rPr>
        <w:t xml:space="preserve"> </w:t>
      </w:r>
      <w:r w:rsidRPr="00A86354" w:rsidR="008E12F2">
        <w:rPr>
          <w:rFonts w:cs="Arial"/>
          <w:lang w:val="fr-FR"/>
        </w:rPr>
        <w:t>orientent les intéressés vers les différents</w:t>
      </w:r>
      <w:r w:rsidRPr="00A86354">
        <w:rPr>
          <w:rFonts w:cs="Arial"/>
          <w:lang w:val="fr-FR"/>
        </w:rPr>
        <w:t xml:space="preserve"> ESMS </w:t>
      </w:r>
      <w:r w:rsidRPr="00A86354" w:rsidR="008E12F2">
        <w:rPr>
          <w:rFonts w:cs="Arial"/>
          <w:lang w:val="fr-FR"/>
        </w:rPr>
        <w:t>qui proposent un accueil ou des services aux personnes handicapées</w:t>
      </w:r>
      <w:r w:rsidRPr="00A86354">
        <w:rPr>
          <w:rFonts w:cs="Arial"/>
          <w:lang w:val="fr-FR"/>
        </w:rPr>
        <w:t>. Les différents types d</w:t>
      </w:r>
      <w:r w:rsidRPr="00A86354" w:rsidR="0006032C">
        <w:rPr>
          <w:rFonts w:cs="Arial"/>
          <w:lang w:val="fr-FR"/>
        </w:rPr>
        <w:t>’</w:t>
      </w:r>
      <w:r w:rsidRPr="00A86354">
        <w:rPr>
          <w:rFonts w:cs="Arial"/>
          <w:lang w:val="fr-FR"/>
        </w:rPr>
        <w:t>ESMS pour adultes et enfants handicapés comprennent</w:t>
      </w:r>
      <w:r w:rsidRPr="00A86354" w:rsidR="001900BB">
        <w:rPr>
          <w:rFonts w:cs="Arial"/>
          <w:lang w:val="fr-FR"/>
        </w:rPr>
        <w:t xml:space="preserve"> les structures suivantes</w:t>
      </w:r>
      <w:r w:rsidRPr="00A86354" w:rsidR="000807D5">
        <w:rPr>
          <w:rFonts w:cs="Arial"/>
          <w:lang w:val="fr-FR"/>
        </w:rPr>
        <w:t> :</w:t>
      </w:r>
      <w:r w:rsidRPr="00A86354" w:rsidR="00023EDC">
        <w:rPr>
          <w:rFonts w:cs="Arial"/>
          <w:lang w:val="fr-FR"/>
        </w:rPr>
        <w:t xml:space="preserve"> </w:t>
      </w:r>
    </w:p>
    <w:p w:rsidRPr="00A86354" w:rsidR="00023EDC" w:rsidP="00164744" w:rsidRDefault="00023EDC" w14:paraId="1714D1EC" w14:textId="14C60555">
      <w:pPr>
        <w:rPr>
          <w:rFonts w:ascii="Arial" w:hAnsi="Arial" w:cs="Arial"/>
          <w:lang w:val="fr-FR"/>
        </w:rPr>
      </w:pPr>
    </w:p>
    <w:p w:rsidRPr="00A86354" w:rsidR="00023EDC" w:rsidP="00CE016A" w:rsidRDefault="008D4B99" w14:paraId="26D03359" w14:textId="514E961C">
      <w:pPr>
        <w:pStyle w:val="ListParagraph"/>
        <w:numPr>
          <w:ilvl w:val="0"/>
          <w:numId w:val="8"/>
        </w:numPr>
        <w:rPr>
          <w:rFonts w:cs="Arial"/>
          <w:lang w:val="fr-FR"/>
        </w:rPr>
      </w:pPr>
      <w:r w:rsidRPr="00A86354">
        <w:rPr>
          <w:rFonts w:cs="Arial"/>
          <w:lang w:val="fr-FR"/>
        </w:rPr>
        <w:t>Structures permettant un accompagnement en milieu ordinaire de vie</w:t>
      </w:r>
    </w:p>
    <w:p w:rsidRPr="00A86354" w:rsidR="00023EDC" w:rsidP="00023EDC" w:rsidRDefault="00023EDC" w14:paraId="399A73EF" w14:textId="77777777">
      <w:pPr>
        <w:rPr>
          <w:rFonts w:ascii="Arial" w:hAnsi="Arial" w:cs="Arial"/>
          <w:lang w:val="fr-FR"/>
        </w:rPr>
      </w:pPr>
    </w:p>
    <w:p w:rsidRPr="00A86354" w:rsidR="00023EDC" w:rsidP="00CE016A" w:rsidRDefault="00617027" w14:paraId="10F5DA42" w14:textId="5BCD05AC">
      <w:pPr>
        <w:pStyle w:val="ListParagraph"/>
        <w:numPr>
          <w:ilvl w:val="0"/>
          <w:numId w:val="1"/>
        </w:numPr>
        <w:ind w:left="0" w:firstLine="0"/>
        <w:rPr>
          <w:rFonts w:cs="Arial"/>
          <w:lang w:val="fr-FR"/>
        </w:rPr>
      </w:pPr>
      <w:r w:rsidRPr="00A86354">
        <w:rPr>
          <w:rFonts w:cs="Arial"/>
          <w:lang w:val="fr-FR"/>
        </w:rPr>
        <w:t>Les services d'éducation spécialisée fournissent des services de soutien aux enfants et aux jeunes handicapés jusqu'à l'âge de 20 ans, en vue de leur intégration scolaire. Ces services restent en contact avec les familles des enfants tout au long du processus de prestation de services. Ces ESMS sont spécialisés en fonction du handicap en question :</w:t>
      </w:r>
    </w:p>
    <w:p w:rsidRPr="00A86354" w:rsidR="00023EDC" w:rsidP="00023EDC" w:rsidRDefault="00023EDC" w14:paraId="42C2C6AE" w14:textId="77777777">
      <w:pPr>
        <w:rPr>
          <w:rFonts w:ascii="Arial" w:hAnsi="Arial" w:cs="Arial"/>
          <w:lang w:val="fr-FR"/>
        </w:rPr>
      </w:pPr>
    </w:p>
    <w:p w:rsidRPr="00A86354" w:rsidR="00486C88" w:rsidP="00CE016A" w:rsidRDefault="00823FB9" w14:paraId="70A60BD1" w14:textId="1B9864E4">
      <w:pPr>
        <w:pStyle w:val="ListParagraph"/>
        <w:numPr>
          <w:ilvl w:val="0"/>
          <w:numId w:val="2"/>
        </w:numPr>
        <w:rPr>
          <w:rFonts w:cs="Arial"/>
          <w:sz w:val="20"/>
          <w:szCs w:val="20"/>
          <w:lang w:val="fr-FR"/>
        </w:rPr>
      </w:pPr>
      <w:r w:rsidRPr="00A86354">
        <w:rPr>
          <w:rFonts w:cs="Arial"/>
          <w:sz w:val="20"/>
          <w:szCs w:val="20"/>
          <w:lang w:val="fr-FR"/>
        </w:rPr>
        <w:t>SESSAD (service d</w:t>
      </w:r>
      <w:r w:rsidRPr="00A86354" w:rsidR="0006032C">
        <w:rPr>
          <w:rFonts w:cs="Arial"/>
          <w:sz w:val="20"/>
          <w:szCs w:val="20"/>
          <w:lang w:val="fr-FR"/>
        </w:rPr>
        <w:t>’</w:t>
      </w:r>
      <w:r w:rsidRPr="00A86354">
        <w:rPr>
          <w:rFonts w:cs="Arial"/>
          <w:sz w:val="20"/>
          <w:szCs w:val="20"/>
          <w:lang w:val="fr-FR"/>
        </w:rPr>
        <w:t>éducation spéciale et de soins à domicile) pour les déficiences intellectuelles et motrices, ainsi que pour les troubles du caractère et du comportement.</w:t>
      </w:r>
      <w:r w:rsidRPr="00A86354" w:rsidR="00486C88">
        <w:rPr>
          <w:rFonts w:cs="Arial"/>
          <w:sz w:val="20"/>
          <w:szCs w:val="20"/>
          <w:lang w:val="fr-FR"/>
        </w:rPr>
        <w:t xml:space="preserve"> </w:t>
      </w:r>
      <w:r w:rsidRPr="00A86354">
        <w:rPr>
          <w:rFonts w:cs="Arial"/>
          <w:sz w:val="20"/>
          <w:szCs w:val="20"/>
          <w:lang w:val="fr-FR"/>
        </w:rPr>
        <w:t>En</w:t>
      </w:r>
      <w:r w:rsidRPr="00A86354" w:rsidR="00486C88">
        <w:rPr>
          <w:rFonts w:cs="Arial"/>
          <w:sz w:val="20"/>
          <w:szCs w:val="20"/>
          <w:lang w:val="fr-FR"/>
        </w:rPr>
        <w:t xml:space="preserve"> 2020, </w:t>
      </w:r>
      <w:r w:rsidRPr="00A86354">
        <w:rPr>
          <w:rFonts w:cs="Arial"/>
          <w:sz w:val="20"/>
          <w:szCs w:val="20"/>
          <w:lang w:val="fr-FR"/>
        </w:rPr>
        <w:t>il y avait</w:t>
      </w:r>
      <w:r w:rsidRPr="00A86354" w:rsidR="00486C88">
        <w:rPr>
          <w:rFonts w:cs="Arial"/>
          <w:sz w:val="20"/>
          <w:szCs w:val="20"/>
          <w:lang w:val="fr-FR"/>
        </w:rPr>
        <w:t xml:space="preserve"> 1</w:t>
      </w:r>
      <w:r w:rsidRPr="00A86354">
        <w:rPr>
          <w:rFonts w:cs="Arial"/>
          <w:sz w:val="20"/>
          <w:szCs w:val="20"/>
          <w:lang w:val="fr-FR"/>
        </w:rPr>
        <w:t> </w:t>
      </w:r>
      <w:r w:rsidRPr="00A86354" w:rsidR="00486C88">
        <w:rPr>
          <w:rFonts w:cs="Arial"/>
          <w:sz w:val="20"/>
          <w:szCs w:val="20"/>
          <w:lang w:val="fr-FR"/>
        </w:rPr>
        <w:t xml:space="preserve">771 </w:t>
      </w:r>
      <w:r w:rsidRPr="00A86354" w:rsidR="0077406B">
        <w:rPr>
          <w:rFonts w:cs="Arial"/>
          <w:sz w:val="20"/>
          <w:szCs w:val="20"/>
          <w:lang w:val="fr-FR"/>
        </w:rPr>
        <w:t xml:space="preserve">établissements </w:t>
      </w:r>
      <w:r w:rsidRPr="00A86354" w:rsidR="00A028D8">
        <w:rPr>
          <w:rFonts w:cs="Arial"/>
          <w:sz w:val="20"/>
          <w:szCs w:val="20"/>
          <w:lang w:val="fr-FR"/>
        </w:rPr>
        <w:t xml:space="preserve">de ce type </w:t>
      </w:r>
      <w:r w:rsidRPr="00A86354" w:rsidR="0077406B">
        <w:rPr>
          <w:rFonts w:cs="Arial"/>
          <w:sz w:val="20"/>
          <w:szCs w:val="20"/>
          <w:lang w:val="fr-FR"/>
        </w:rPr>
        <w:t>en France selon les chiffres publiés par la DREES (Direction de la recherche, des études, de l</w:t>
      </w:r>
      <w:r w:rsidRPr="00A86354" w:rsidR="0006032C">
        <w:rPr>
          <w:rFonts w:cs="Arial"/>
          <w:sz w:val="20"/>
          <w:szCs w:val="20"/>
          <w:lang w:val="fr-FR"/>
        </w:rPr>
        <w:t>’</w:t>
      </w:r>
      <w:r w:rsidRPr="00A86354" w:rsidR="0077406B">
        <w:rPr>
          <w:rFonts w:cs="Arial"/>
          <w:sz w:val="20"/>
          <w:szCs w:val="20"/>
          <w:lang w:val="fr-FR"/>
        </w:rPr>
        <w:t>évaluation et de</w:t>
      </w:r>
      <w:r w:rsidRPr="00A86354" w:rsidR="00EA74B2">
        <w:rPr>
          <w:rFonts w:cs="Arial"/>
          <w:sz w:val="20"/>
          <w:szCs w:val="20"/>
          <w:lang w:val="fr-FR"/>
        </w:rPr>
        <w:t>s</w:t>
      </w:r>
      <w:r w:rsidRPr="00A86354" w:rsidR="0077406B">
        <w:rPr>
          <w:rFonts w:cs="Arial"/>
          <w:sz w:val="20"/>
          <w:szCs w:val="20"/>
          <w:lang w:val="fr-FR"/>
        </w:rPr>
        <w:t xml:space="preserve"> statistique</w:t>
      </w:r>
      <w:r w:rsidRPr="00A86354" w:rsidR="00EA74B2">
        <w:rPr>
          <w:rFonts w:cs="Arial"/>
          <w:sz w:val="20"/>
          <w:szCs w:val="20"/>
          <w:lang w:val="fr-FR"/>
        </w:rPr>
        <w:t>s</w:t>
      </w:r>
      <w:r w:rsidRPr="00A86354" w:rsidR="0077406B">
        <w:rPr>
          <w:rFonts w:cs="Arial"/>
          <w:sz w:val="20"/>
          <w:szCs w:val="20"/>
          <w:lang w:val="fr-FR"/>
        </w:rPr>
        <w:t>). En 2020, la part de SESSAD par rapport à l</w:t>
      </w:r>
      <w:r w:rsidRPr="00A86354" w:rsidR="0006032C">
        <w:rPr>
          <w:rFonts w:cs="Arial"/>
          <w:sz w:val="20"/>
          <w:szCs w:val="20"/>
          <w:lang w:val="fr-FR"/>
        </w:rPr>
        <w:t>’</w:t>
      </w:r>
      <w:r w:rsidRPr="00A86354" w:rsidR="0077406B">
        <w:rPr>
          <w:rFonts w:cs="Arial"/>
          <w:sz w:val="20"/>
          <w:szCs w:val="20"/>
          <w:lang w:val="fr-FR"/>
        </w:rPr>
        <w:t>offre totale de services aux enfants handicapés en France était de 33,2</w:t>
      </w:r>
      <w:r w:rsidRPr="00A86354" w:rsidR="00EA74B2">
        <w:rPr>
          <w:rFonts w:cs="Arial"/>
          <w:sz w:val="20"/>
          <w:szCs w:val="20"/>
          <w:lang w:val="fr-FR"/>
        </w:rPr>
        <w:t> </w:t>
      </w:r>
      <w:r w:rsidRPr="00A86354" w:rsidR="0077406B">
        <w:rPr>
          <w:rFonts w:cs="Arial"/>
          <w:sz w:val="20"/>
          <w:szCs w:val="20"/>
          <w:lang w:val="fr-FR"/>
        </w:rPr>
        <w:t>%</w:t>
      </w:r>
      <w:r w:rsidRPr="00A86354" w:rsidR="001900BB">
        <w:rPr>
          <w:rFonts w:cs="Arial"/>
          <w:sz w:val="20"/>
          <w:szCs w:val="20"/>
          <w:lang w:val="fr-FR"/>
        </w:rPr>
        <w:t> ;</w:t>
      </w:r>
    </w:p>
    <w:p w:rsidRPr="00A86354" w:rsidR="00023EDC" w:rsidP="00CE016A" w:rsidRDefault="00823FB9" w14:paraId="30DE0F00" w14:textId="5121A373">
      <w:pPr>
        <w:pStyle w:val="ListParagraph"/>
        <w:numPr>
          <w:ilvl w:val="0"/>
          <w:numId w:val="2"/>
        </w:numPr>
        <w:rPr>
          <w:rFonts w:cs="Arial"/>
          <w:sz w:val="20"/>
          <w:szCs w:val="20"/>
          <w:lang w:val="fr-FR"/>
        </w:rPr>
      </w:pPr>
      <w:r w:rsidRPr="00A86354">
        <w:rPr>
          <w:rFonts w:cs="Arial"/>
          <w:sz w:val="20"/>
          <w:szCs w:val="20"/>
          <w:lang w:val="fr-FR"/>
        </w:rPr>
        <w:t>SSAD (service de soins et d</w:t>
      </w:r>
      <w:r w:rsidRPr="00A86354" w:rsidR="0006032C">
        <w:rPr>
          <w:rFonts w:cs="Arial"/>
          <w:sz w:val="20"/>
          <w:szCs w:val="20"/>
          <w:lang w:val="fr-FR"/>
        </w:rPr>
        <w:t>’</w:t>
      </w:r>
      <w:r w:rsidRPr="00A86354">
        <w:rPr>
          <w:rFonts w:cs="Arial"/>
          <w:sz w:val="20"/>
          <w:szCs w:val="20"/>
          <w:lang w:val="fr-FR"/>
        </w:rPr>
        <w:t>aide à domicile) pour le polyhandicap, qui associe une déficience motrice et une déficience mentale sévère ou profonde</w:t>
      </w:r>
      <w:r w:rsidRPr="00A86354" w:rsidR="001900BB">
        <w:rPr>
          <w:rFonts w:cs="Arial"/>
          <w:sz w:val="20"/>
          <w:szCs w:val="20"/>
          <w:lang w:val="fr-FR"/>
        </w:rPr>
        <w:t> ;</w:t>
      </w:r>
    </w:p>
    <w:p w:rsidRPr="00A86354" w:rsidR="00023EDC" w:rsidP="00CE016A" w:rsidRDefault="00823FB9" w14:paraId="51F2335D" w14:textId="585644BD">
      <w:pPr>
        <w:pStyle w:val="ListParagraph"/>
        <w:numPr>
          <w:ilvl w:val="0"/>
          <w:numId w:val="2"/>
        </w:numPr>
        <w:rPr>
          <w:rFonts w:cs="Arial"/>
          <w:sz w:val="20"/>
          <w:szCs w:val="20"/>
          <w:lang w:val="fr-FR"/>
        </w:rPr>
      </w:pPr>
      <w:r w:rsidRPr="00A86354">
        <w:rPr>
          <w:rFonts w:cs="Arial"/>
          <w:sz w:val="20"/>
          <w:szCs w:val="20"/>
          <w:lang w:val="fr-FR"/>
        </w:rPr>
        <w:t>SSEFIS (service de soutien à l</w:t>
      </w:r>
      <w:r w:rsidRPr="00A86354" w:rsidR="0006032C">
        <w:rPr>
          <w:rFonts w:cs="Arial"/>
          <w:sz w:val="20"/>
          <w:szCs w:val="20"/>
          <w:lang w:val="fr-FR"/>
        </w:rPr>
        <w:t>’</w:t>
      </w:r>
      <w:r w:rsidRPr="00A86354">
        <w:rPr>
          <w:rFonts w:cs="Arial"/>
          <w:sz w:val="20"/>
          <w:szCs w:val="20"/>
          <w:lang w:val="fr-FR"/>
        </w:rPr>
        <w:t>éducation familiale et à l</w:t>
      </w:r>
      <w:r w:rsidRPr="00A86354" w:rsidR="0006032C">
        <w:rPr>
          <w:rFonts w:cs="Arial"/>
          <w:sz w:val="20"/>
          <w:szCs w:val="20"/>
          <w:lang w:val="fr-FR"/>
        </w:rPr>
        <w:t>’</w:t>
      </w:r>
      <w:r w:rsidRPr="00A86354">
        <w:rPr>
          <w:rFonts w:cs="Arial"/>
          <w:sz w:val="20"/>
          <w:szCs w:val="20"/>
          <w:lang w:val="fr-FR"/>
        </w:rPr>
        <w:t>intégration scolaire) pour les déficiences auditives graves des enfants de plus de 3 ans</w:t>
      </w:r>
      <w:r w:rsidRPr="00A86354" w:rsidR="001900BB">
        <w:rPr>
          <w:rFonts w:cs="Arial"/>
          <w:sz w:val="20"/>
          <w:szCs w:val="20"/>
          <w:lang w:val="fr-FR"/>
        </w:rPr>
        <w:t> ;</w:t>
      </w:r>
    </w:p>
    <w:p w:rsidRPr="00A86354" w:rsidR="00023EDC" w:rsidP="00CE016A" w:rsidRDefault="00823FB9" w14:paraId="0BC74302" w14:textId="7C8F6184">
      <w:pPr>
        <w:pStyle w:val="ListParagraph"/>
        <w:numPr>
          <w:ilvl w:val="0"/>
          <w:numId w:val="2"/>
        </w:numPr>
        <w:rPr>
          <w:rFonts w:cs="Arial"/>
          <w:sz w:val="20"/>
          <w:szCs w:val="20"/>
          <w:lang w:val="fr-FR"/>
        </w:rPr>
      </w:pPr>
      <w:r w:rsidRPr="00A86354">
        <w:rPr>
          <w:rFonts w:cs="Arial"/>
          <w:sz w:val="20"/>
          <w:szCs w:val="20"/>
          <w:lang w:val="fr-FR"/>
        </w:rPr>
        <w:t>SAAAIS (service d</w:t>
      </w:r>
      <w:r w:rsidRPr="00A86354" w:rsidR="0006032C">
        <w:rPr>
          <w:rFonts w:cs="Arial"/>
          <w:sz w:val="20"/>
          <w:szCs w:val="20"/>
          <w:lang w:val="fr-FR"/>
        </w:rPr>
        <w:t>’</w:t>
      </w:r>
      <w:r w:rsidRPr="00A86354">
        <w:rPr>
          <w:rFonts w:cs="Arial"/>
          <w:sz w:val="20"/>
          <w:szCs w:val="20"/>
          <w:lang w:val="fr-FR"/>
        </w:rPr>
        <w:t>aide à l</w:t>
      </w:r>
      <w:r w:rsidRPr="00A86354" w:rsidR="0006032C">
        <w:rPr>
          <w:rFonts w:cs="Arial"/>
          <w:sz w:val="20"/>
          <w:szCs w:val="20"/>
          <w:lang w:val="fr-FR"/>
        </w:rPr>
        <w:t>’</w:t>
      </w:r>
      <w:r w:rsidRPr="00A86354">
        <w:rPr>
          <w:rFonts w:cs="Arial"/>
          <w:sz w:val="20"/>
          <w:szCs w:val="20"/>
          <w:lang w:val="fr-FR"/>
        </w:rPr>
        <w:t>acquisition de l</w:t>
      </w:r>
      <w:r w:rsidRPr="00A86354" w:rsidR="0006032C">
        <w:rPr>
          <w:rFonts w:cs="Arial"/>
          <w:sz w:val="20"/>
          <w:szCs w:val="20"/>
          <w:lang w:val="fr-FR"/>
        </w:rPr>
        <w:t>’</w:t>
      </w:r>
      <w:r w:rsidRPr="00A86354">
        <w:rPr>
          <w:rFonts w:cs="Arial"/>
          <w:sz w:val="20"/>
          <w:szCs w:val="20"/>
          <w:lang w:val="fr-FR"/>
        </w:rPr>
        <w:t>autonomie et à l</w:t>
      </w:r>
      <w:r w:rsidRPr="00A86354" w:rsidR="0006032C">
        <w:rPr>
          <w:rFonts w:cs="Arial"/>
          <w:sz w:val="20"/>
          <w:szCs w:val="20"/>
          <w:lang w:val="fr-FR"/>
        </w:rPr>
        <w:t>’</w:t>
      </w:r>
      <w:r w:rsidRPr="00A86354">
        <w:rPr>
          <w:rFonts w:cs="Arial"/>
          <w:sz w:val="20"/>
          <w:szCs w:val="20"/>
          <w:lang w:val="fr-FR"/>
        </w:rPr>
        <w:t>intégration scolaire) pour les déficiences visuelles graves des enfants de plus de 3 ans.</w:t>
      </w:r>
      <w:r w:rsidRPr="00A86354" w:rsidR="00023EDC">
        <w:rPr>
          <w:rFonts w:cs="Arial"/>
          <w:sz w:val="20"/>
          <w:szCs w:val="20"/>
          <w:lang w:val="fr-FR"/>
        </w:rPr>
        <w:t xml:space="preserve"> </w:t>
      </w:r>
    </w:p>
    <w:p w:rsidRPr="00A86354" w:rsidR="00023EDC" w:rsidP="00164744" w:rsidRDefault="00023EDC" w14:paraId="71F54ECC" w14:textId="77777777">
      <w:pPr>
        <w:rPr>
          <w:rFonts w:ascii="Arial" w:hAnsi="Arial" w:cs="Arial"/>
          <w:b/>
          <w:bCs/>
          <w:lang w:val="fr-FR"/>
        </w:rPr>
      </w:pPr>
    </w:p>
    <w:p w:rsidRPr="00A86354" w:rsidR="00023EDC" w:rsidP="00CE016A" w:rsidRDefault="00EA74B2" w14:paraId="38810E88" w14:textId="12EBF3F5">
      <w:pPr>
        <w:pStyle w:val="ListParagraph"/>
        <w:numPr>
          <w:ilvl w:val="0"/>
          <w:numId w:val="1"/>
        </w:numPr>
        <w:ind w:left="0" w:firstLine="0"/>
        <w:rPr>
          <w:rFonts w:cs="Arial"/>
          <w:lang w:val="fr-FR"/>
        </w:rPr>
      </w:pPr>
      <w:r w:rsidRPr="00A86354">
        <w:rPr>
          <w:rFonts w:cs="Arial"/>
          <w:lang w:val="fr-FR"/>
        </w:rPr>
        <w:t>Pour les</w:t>
      </w:r>
      <w:r w:rsidRPr="00A86354" w:rsidR="00023EDC">
        <w:rPr>
          <w:rFonts w:cs="Arial"/>
          <w:lang w:val="fr-FR"/>
        </w:rPr>
        <w:t xml:space="preserve"> adult</w:t>
      </w:r>
      <w:r w:rsidRPr="00A86354">
        <w:rPr>
          <w:rFonts w:cs="Arial"/>
          <w:lang w:val="fr-FR"/>
        </w:rPr>
        <w:t>e</w:t>
      </w:r>
      <w:r w:rsidRPr="00A86354" w:rsidR="00023EDC">
        <w:rPr>
          <w:rFonts w:cs="Arial"/>
          <w:lang w:val="fr-FR"/>
        </w:rPr>
        <w:t xml:space="preserve">s, </w:t>
      </w:r>
      <w:r w:rsidRPr="00A86354">
        <w:rPr>
          <w:rFonts w:cs="Arial"/>
          <w:lang w:val="fr-FR"/>
        </w:rPr>
        <w:t>il existe des</w:t>
      </w:r>
      <w:r w:rsidRPr="00A86354" w:rsidR="00023EDC">
        <w:rPr>
          <w:rFonts w:cs="Arial"/>
          <w:lang w:val="fr-FR"/>
        </w:rPr>
        <w:t xml:space="preserve"> ESMS</w:t>
      </w:r>
      <w:r w:rsidRPr="00A86354">
        <w:rPr>
          <w:rFonts w:cs="Arial"/>
          <w:lang w:val="fr-FR"/>
        </w:rPr>
        <w:t xml:space="preserve"> assurant un accueil familial</w:t>
      </w:r>
      <w:r w:rsidRPr="00A86354" w:rsidR="00023EDC">
        <w:rPr>
          <w:rFonts w:cs="Arial"/>
          <w:lang w:val="fr-FR"/>
        </w:rPr>
        <w:t xml:space="preserve"> (</w:t>
      </w:r>
      <w:r w:rsidRPr="00A86354">
        <w:rPr>
          <w:rFonts w:cs="Arial"/>
          <w:lang w:val="fr-FR"/>
        </w:rPr>
        <w:t>la personne handicapée est accueillie à titre payant dans une famille autre que la sienne</w:t>
      </w:r>
      <w:r w:rsidRPr="00A86354" w:rsidR="00023EDC">
        <w:rPr>
          <w:rFonts w:cs="Arial"/>
          <w:lang w:val="fr-FR"/>
        </w:rPr>
        <w:t xml:space="preserve">), </w:t>
      </w:r>
      <w:r w:rsidRPr="00A86354">
        <w:rPr>
          <w:rFonts w:cs="Arial"/>
          <w:lang w:val="fr-FR"/>
        </w:rPr>
        <w:t>un accueil temporaire ou un accueil de jour</w:t>
      </w:r>
      <w:r w:rsidRPr="00A86354" w:rsidR="00023EDC">
        <w:rPr>
          <w:lang w:val="fr-FR"/>
        </w:rPr>
        <w:t xml:space="preserve"> </w:t>
      </w:r>
      <w:r w:rsidRPr="00A86354" w:rsidR="00023EDC">
        <w:rPr>
          <w:rFonts w:cs="Arial"/>
          <w:lang w:val="fr-FR"/>
        </w:rPr>
        <w:t>(</w:t>
      </w:r>
      <w:r w:rsidRPr="00A86354">
        <w:rPr>
          <w:rFonts w:cs="Arial"/>
          <w:lang w:val="fr-FR"/>
        </w:rPr>
        <w:t>c</w:t>
      </w:r>
      <w:r w:rsidRPr="00A86354" w:rsidR="0006032C">
        <w:rPr>
          <w:rFonts w:cs="Arial"/>
          <w:lang w:val="fr-FR"/>
        </w:rPr>
        <w:t>’</w:t>
      </w:r>
      <w:r w:rsidRPr="00A86354">
        <w:rPr>
          <w:rFonts w:cs="Arial"/>
          <w:lang w:val="fr-FR"/>
        </w:rPr>
        <w:t>est un accueil d</w:t>
      </w:r>
      <w:r w:rsidRPr="00A86354" w:rsidR="0006032C">
        <w:rPr>
          <w:rFonts w:cs="Arial"/>
          <w:lang w:val="fr-FR"/>
        </w:rPr>
        <w:t>’</w:t>
      </w:r>
      <w:r w:rsidRPr="00A86354">
        <w:rPr>
          <w:rFonts w:cs="Arial"/>
          <w:lang w:val="fr-FR"/>
        </w:rPr>
        <w:t>une ou plusieurs journées par semaine, de personnes âgées ou handicapées vivant à leur domicile)</w:t>
      </w:r>
      <w:r w:rsidRPr="00A86354" w:rsidR="00023EDC">
        <w:rPr>
          <w:rFonts w:cs="Arial"/>
          <w:lang w:val="fr-FR"/>
        </w:rPr>
        <w:t xml:space="preserve">. </w:t>
      </w:r>
    </w:p>
    <w:p w:rsidRPr="00A86354" w:rsidR="00023EDC" w:rsidP="00164744" w:rsidRDefault="00023EDC" w14:paraId="3C0902E4" w14:textId="40C0B959">
      <w:pPr>
        <w:rPr>
          <w:rFonts w:ascii="Arial" w:hAnsi="Arial" w:cs="Arial"/>
          <w:b/>
          <w:bCs/>
          <w:lang w:val="fr-FR"/>
        </w:rPr>
      </w:pPr>
    </w:p>
    <w:p w:rsidRPr="00A86354" w:rsidR="00023EDC" w:rsidP="00CE016A" w:rsidRDefault="003C2ED9" w14:paraId="3C9360FA" w14:textId="2E129ADD">
      <w:pPr>
        <w:pStyle w:val="ListParagraph"/>
        <w:numPr>
          <w:ilvl w:val="0"/>
          <w:numId w:val="8"/>
        </w:numPr>
        <w:rPr>
          <w:rFonts w:cs="Arial"/>
          <w:lang w:val="fr-FR"/>
        </w:rPr>
      </w:pPr>
      <w:r w:rsidRPr="00A86354">
        <w:rPr>
          <w:rFonts w:cs="Arial"/>
          <w:lang w:val="fr-FR"/>
        </w:rPr>
        <w:t>Structures d</w:t>
      </w:r>
      <w:r w:rsidRPr="00A86354" w:rsidR="0006032C">
        <w:rPr>
          <w:rFonts w:cs="Arial"/>
          <w:lang w:val="fr-FR"/>
        </w:rPr>
        <w:t>’</w:t>
      </w:r>
      <w:r w:rsidRPr="00A86354">
        <w:rPr>
          <w:rFonts w:cs="Arial"/>
          <w:lang w:val="fr-FR"/>
        </w:rPr>
        <w:t>accompagnement en institution</w:t>
      </w:r>
    </w:p>
    <w:p w:rsidRPr="00A86354" w:rsidR="00023EDC" w:rsidP="00164744" w:rsidRDefault="00023EDC" w14:paraId="6FAD4E8A" w14:textId="77777777">
      <w:pPr>
        <w:rPr>
          <w:rFonts w:ascii="Arial" w:hAnsi="Arial" w:cs="Arial"/>
          <w:b/>
          <w:bCs/>
          <w:lang w:val="fr-FR"/>
        </w:rPr>
      </w:pPr>
    </w:p>
    <w:p w:rsidRPr="00A86354" w:rsidR="00023EDC" w:rsidP="00164744" w:rsidRDefault="003C2ED9" w14:paraId="090AEEBA" w14:textId="2580995D">
      <w:pPr>
        <w:rPr>
          <w:rFonts w:ascii="Arial" w:hAnsi="Arial" w:cs="Arial"/>
          <w:lang w:val="fr-FR"/>
        </w:rPr>
      </w:pPr>
      <w:r w:rsidRPr="00A86354">
        <w:rPr>
          <w:rFonts w:ascii="Arial" w:hAnsi="Arial" w:cs="Arial"/>
          <w:lang w:val="fr-FR"/>
        </w:rPr>
        <w:t>Pour les enfants</w:t>
      </w:r>
      <w:r w:rsidRPr="00A86354" w:rsidR="000807D5">
        <w:rPr>
          <w:rFonts w:ascii="Arial" w:hAnsi="Arial" w:cs="Arial"/>
          <w:lang w:val="fr-FR"/>
        </w:rPr>
        <w:t> :</w:t>
      </w:r>
      <w:r w:rsidRPr="00A86354" w:rsidR="00023EDC">
        <w:rPr>
          <w:rFonts w:ascii="Arial" w:hAnsi="Arial" w:cs="Arial"/>
          <w:lang w:val="fr-FR"/>
        </w:rPr>
        <w:t xml:space="preserve"> </w:t>
      </w:r>
    </w:p>
    <w:p w:rsidRPr="00A86354" w:rsidR="00023EDC" w:rsidP="00164744" w:rsidRDefault="00023EDC" w14:paraId="57265647" w14:textId="77777777">
      <w:pPr>
        <w:rPr>
          <w:rFonts w:ascii="Arial" w:hAnsi="Arial" w:cs="Arial"/>
          <w:sz w:val="20"/>
          <w:szCs w:val="20"/>
          <w:lang w:val="fr-FR"/>
        </w:rPr>
      </w:pPr>
    </w:p>
    <w:p w:rsidRPr="00A86354" w:rsidR="00023EDC" w:rsidP="00CE016A" w:rsidRDefault="00A028D8" w14:paraId="4A412BD1" w14:textId="19667167">
      <w:pPr>
        <w:pStyle w:val="ListParagraph"/>
        <w:numPr>
          <w:ilvl w:val="0"/>
          <w:numId w:val="2"/>
        </w:numPr>
        <w:rPr>
          <w:rFonts w:cs="Arial"/>
          <w:sz w:val="20"/>
          <w:szCs w:val="20"/>
          <w:lang w:val="fr-FR"/>
        </w:rPr>
      </w:pPr>
      <w:r w:rsidRPr="00A86354">
        <w:rPr>
          <w:rFonts w:cs="Arial"/>
          <w:sz w:val="20"/>
          <w:szCs w:val="20"/>
          <w:lang w:val="fr-FR"/>
        </w:rPr>
        <w:t>établissements d</w:t>
      </w:r>
      <w:r w:rsidRPr="00A86354" w:rsidR="0006032C">
        <w:rPr>
          <w:rFonts w:cs="Arial"/>
          <w:sz w:val="20"/>
          <w:szCs w:val="20"/>
          <w:lang w:val="fr-FR"/>
        </w:rPr>
        <w:t>’</w:t>
      </w:r>
      <w:r w:rsidRPr="00A86354">
        <w:rPr>
          <w:rFonts w:cs="Arial"/>
          <w:sz w:val="20"/>
          <w:szCs w:val="20"/>
          <w:lang w:val="fr-FR"/>
        </w:rPr>
        <w:t>éducation spéciale</w:t>
      </w:r>
      <w:r w:rsidRPr="00A86354" w:rsidR="000807D5">
        <w:rPr>
          <w:rFonts w:cs="Arial"/>
          <w:sz w:val="20"/>
          <w:szCs w:val="20"/>
          <w:lang w:val="fr-FR"/>
        </w:rPr>
        <w:t> :</w:t>
      </w:r>
      <w:r w:rsidRPr="00A86354">
        <w:rPr>
          <w:rFonts w:cs="Arial"/>
          <w:sz w:val="20"/>
          <w:szCs w:val="20"/>
          <w:lang w:val="fr-FR"/>
        </w:rPr>
        <w:t xml:space="preserve"> lorsque la scolarisation en milieu ordinaire n</w:t>
      </w:r>
      <w:r w:rsidRPr="00A86354" w:rsidR="0006032C">
        <w:rPr>
          <w:rFonts w:cs="Arial"/>
          <w:sz w:val="20"/>
          <w:szCs w:val="20"/>
          <w:lang w:val="fr-FR"/>
        </w:rPr>
        <w:t>’</w:t>
      </w:r>
      <w:r w:rsidRPr="00A86354">
        <w:rPr>
          <w:rFonts w:cs="Arial"/>
          <w:sz w:val="20"/>
          <w:szCs w:val="20"/>
          <w:lang w:val="fr-FR"/>
        </w:rPr>
        <w:t>est pas envisagée, ces établissements assurent une prise en charge éducative, pédagogique et thérapeutique adaptée à l</w:t>
      </w:r>
      <w:r w:rsidRPr="00A86354" w:rsidR="0006032C">
        <w:rPr>
          <w:rFonts w:cs="Arial"/>
          <w:sz w:val="20"/>
          <w:szCs w:val="20"/>
          <w:lang w:val="fr-FR"/>
        </w:rPr>
        <w:t>’</w:t>
      </w:r>
      <w:r w:rsidRPr="00A86354">
        <w:rPr>
          <w:rFonts w:cs="Arial"/>
          <w:sz w:val="20"/>
          <w:szCs w:val="20"/>
          <w:lang w:val="fr-FR"/>
        </w:rPr>
        <w:t>ensemble des besoins de chaque enfant ou</w:t>
      </w:r>
      <w:r w:rsidRPr="00A86354" w:rsidR="00023EDC">
        <w:rPr>
          <w:rFonts w:cs="Arial"/>
          <w:sz w:val="20"/>
          <w:szCs w:val="20"/>
          <w:lang w:val="fr-FR"/>
        </w:rPr>
        <w:t xml:space="preserve"> adolescent</w:t>
      </w:r>
      <w:r w:rsidRPr="00A86354" w:rsidR="00C174AD">
        <w:rPr>
          <w:rFonts w:cs="Arial"/>
          <w:sz w:val="20"/>
          <w:szCs w:val="20"/>
          <w:lang w:val="fr-FR"/>
        </w:rPr>
        <w:t> ;</w:t>
      </w:r>
    </w:p>
    <w:p w:rsidRPr="00A86354" w:rsidR="00023EDC" w:rsidP="00CE016A" w:rsidRDefault="00023EDC" w14:paraId="7C2164DC" w14:textId="72974438">
      <w:pPr>
        <w:pStyle w:val="ListParagraph"/>
        <w:numPr>
          <w:ilvl w:val="0"/>
          <w:numId w:val="2"/>
        </w:numPr>
        <w:rPr>
          <w:rFonts w:cs="Arial"/>
          <w:sz w:val="20"/>
          <w:szCs w:val="20"/>
          <w:lang w:val="fr-FR"/>
        </w:rPr>
      </w:pPr>
      <w:r w:rsidRPr="00A86354">
        <w:rPr>
          <w:rFonts w:cs="Arial"/>
          <w:sz w:val="20"/>
          <w:szCs w:val="20"/>
          <w:lang w:val="fr-FR"/>
        </w:rPr>
        <w:t xml:space="preserve">IME </w:t>
      </w:r>
      <w:r w:rsidRPr="00A86354" w:rsidR="00A028D8">
        <w:rPr>
          <w:rFonts w:cs="Arial"/>
          <w:sz w:val="20"/>
          <w:szCs w:val="20"/>
          <w:lang w:val="fr-FR"/>
        </w:rPr>
        <w:t>(institut médico-éducatif)</w:t>
      </w:r>
      <w:r w:rsidRPr="00A86354" w:rsidR="000807D5">
        <w:rPr>
          <w:rFonts w:cs="Arial"/>
          <w:sz w:val="20"/>
          <w:szCs w:val="20"/>
          <w:lang w:val="fr-FR"/>
        </w:rPr>
        <w:t> :</w:t>
      </w:r>
      <w:r w:rsidRPr="00A86354" w:rsidR="00A028D8">
        <w:rPr>
          <w:rFonts w:cs="Arial"/>
          <w:sz w:val="20"/>
          <w:szCs w:val="20"/>
          <w:lang w:val="fr-FR"/>
        </w:rPr>
        <w:t xml:space="preserve"> ils accueillent des enfants et adolescents déficients intellectuels, quel que soit le degré de leur déficience</w:t>
      </w:r>
      <w:r w:rsidRPr="00A86354">
        <w:rPr>
          <w:rFonts w:cs="Arial"/>
          <w:sz w:val="20"/>
          <w:szCs w:val="20"/>
          <w:lang w:val="fr-FR"/>
        </w:rPr>
        <w:t>.</w:t>
      </w:r>
      <w:r w:rsidRPr="00A86354" w:rsidR="00486C88">
        <w:rPr>
          <w:rFonts w:cs="Arial"/>
          <w:sz w:val="20"/>
          <w:szCs w:val="20"/>
          <w:lang w:val="fr-FR"/>
        </w:rPr>
        <w:t xml:space="preserve"> </w:t>
      </w:r>
      <w:r w:rsidRPr="00A86354" w:rsidR="00A028D8">
        <w:rPr>
          <w:rFonts w:cs="Arial"/>
          <w:sz w:val="20"/>
          <w:szCs w:val="20"/>
          <w:lang w:val="fr-FR"/>
        </w:rPr>
        <w:t>Il y avait</w:t>
      </w:r>
      <w:r w:rsidRPr="00A86354" w:rsidR="00486C88">
        <w:rPr>
          <w:rFonts w:cs="Arial"/>
          <w:sz w:val="20"/>
          <w:szCs w:val="20"/>
          <w:lang w:val="fr-FR"/>
        </w:rPr>
        <w:t xml:space="preserve"> 1</w:t>
      </w:r>
      <w:r w:rsidRPr="00A86354" w:rsidR="00A028D8">
        <w:rPr>
          <w:rFonts w:cs="Arial"/>
          <w:sz w:val="20"/>
          <w:szCs w:val="20"/>
          <w:lang w:val="fr-FR"/>
        </w:rPr>
        <w:t> </w:t>
      </w:r>
      <w:r w:rsidRPr="00A86354" w:rsidR="00486C88">
        <w:rPr>
          <w:rFonts w:cs="Arial"/>
          <w:sz w:val="20"/>
          <w:szCs w:val="20"/>
          <w:lang w:val="fr-FR"/>
        </w:rPr>
        <w:t xml:space="preserve">303 </w:t>
      </w:r>
      <w:r w:rsidRPr="00A86354" w:rsidR="00A028D8">
        <w:rPr>
          <w:rFonts w:cs="Arial"/>
          <w:sz w:val="20"/>
          <w:szCs w:val="20"/>
          <w:lang w:val="fr-FR"/>
        </w:rPr>
        <w:t>établissements de ce type en</w:t>
      </w:r>
      <w:r w:rsidRPr="00A86354" w:rsidR="00486C88">
        <w:rPr>
          <w:rFonts w:cs="Arial"/>
          <w:sz w:val="20"/>
          <w:szCs w:val="20"/>
          <w:lang w:val="fr-FR"/>
        </w:rPr>
        <w:t xml:space="preserve"> France </w:t>
      </w:r>
      <w:r w:rsidRPr="00A86354" w:rsidR="00A028D8">
        <w:rPr>
          <w:rFonts w:cs="Arial"/>
          <w:sz w:val="20"/>
          <w:szCs w:val="20"/>
          <w:lang w:val="fr-FR"/>
        </w:rPr>
        <w:t>en</w:t>
      </w:r>
      <w:r w:rsidRPr="00A86354" w:rsidR="00486C88">
        <w:rPr>
          <w:rFonts w:cs="Arial"/>
          <w:sz w:val="20"/>
          <w:szCs w:val="20"/>
          <w:lang w:val="fr-FR"/>
        </w:rPr>
        <w:t xml:space="preserve"> 2020</w:t>
      </w:r>
      <w:r w:rsidRPr="00A86354" w:rsidR="00C174AD">
        <w:rPr>
          <w:rFonts w:cs="Arial"/>
          <w:sz w:val="20"/>
          <w:szCs w:val="20"/>
          <w:lang w:val="fr-FR"/>
        </w:rPr>
        <w:t> ;</w:t>
      </w:r>
    </w:p>
    <w:p w:rsidRPr="00A86354" w:rsidR="00023EDC" w:rsidP="00CE016A" w:rsidRDefault="00023EDC" w14:paraId="282739D8" w14:textId="0C51EB23">
      <w:pPr>
        <w:pStyle w:val="ListParagraph"/>
        <w:numPr>
          <w:ilvl w:val="0"/>
          <w:numId w:val="2"/>
        </w:numPr>
        <w:rPr>
          <w:rFonts w:cs="Arial"/>
          <w:sz w:val="20"/>
          <w:szCs w:val="20"/>
          <w:lang w:val="fr-FR"/>
        </w:rPr>
      </w:pPr>
      <w:r w:rsidRPr="00A86354">
        <w:rPr>
          <w:rFonts w:cs="Arial"/>
          <w:sz w:val="20"/>
          <w:szCs w:val="20"/>
          <w:lang w:val="fr-FR"/>
        </w:rPr>
        <w:t>ITEP (</w:t>
      </w:r>
      <w:r w:rsidRPr="00A86354" w:rsidR="00A028D8">
        <w:rPr>
          <w:rFonts w:cs="Arial"/>
          <w:sz w:val="20"/>
          <w:szCs w:val="20"/>
          <w:lang w:val="fr-FR"/>
        </w:rPr>
        <w:t>institut thérapeutique, éducatif et pédagogique)</w:t>
      </w:r>
      <w:r w:rsidRPr="00A86354" w:rsidR="000807D5">
        <w:rPr>
          <w:rFonts w:cs="Arial"/>
          <w:sz w:val="20"/>
          <w:szCs w:val="20"/>
          <w:lang w:val="fr-FR"/>
        </w:rPr>
        <w:t> :</w:t>
      </w:r>
      <w:r w:rsidRPr="00A86354" w:rsidR="00A028D8">
        <w:rPr>
          <w:rFonts w:cs="Arial"/>
          <w:sz w:val="20"/>
          <w:szCs w:val="20"/>
          <w:lang w:val="fr-FR"/>
        </w:rPr>
        <w:t xml:space="preserve"> établissements accueillant des enfants ou des adolescents présentant des troubles du comportement importants, sans déficience intellectuelle. L</w:t>
      </w:r>
      <w:r w:rsidRPr="00A86354" w:rsidR="0006032C">
        <w:rPr>
          <w:rFonts w:cs="Arial"/>
          <w:sz w:val="20"/>
          <w:szCs w:val="20"/>
          <w:lang w:val="fr-FR"/>
        </w:rPr>
        <w:t>’</w:t>
      </w:r>
      <w:r w:rsidRPr="00A86354" w:rsidR="00A028D8">
        <w:rPr>
          <w:rFonts w:cs="Arial"/>
          <w:sz w:val="20"/>
          <w:szCs w:val="20"/>
          <w:lang w:val="fr-FR"/>
        </w:rPr>
        <w:t>enseignement est dispensé soit dans l</w:t>
      </w:r>
      <w:r w:rsidRPr="00A86354" w:rsidR="0006032C">
        <w:rPr>
          <w:rFonts w:cs="Arial"/>
          <w:sz w:val="20"/>
          <w:szCs w:val="20"/>
          <w:lang w:val="fr-FR"/>
        </w:rPr>
        <w:t>’</w:t>
      </w:r>
      <w:r w:rsidRPr="00A86354" w:rsidR="00A028D8">
        <w:rPr>
          <w:rFonts w:cs="Arial"/>
          <w:sz w:val="20"/>
          <w:szCs w:val="20"/>
          <w:lang w:val="fr-FR"/>
        </w:rPr>
        <w:t>établissement par des enseignants spécialisés, soit en intégration dans des classes d</w:t>
      </w:r>
      <w:r w:rsidRPr="00A86354" w:rsidR="0006032C">
        <w:rPr>
          <w:rFonts w:cs="Arial"/>
          <w:sz w:val="20"/>
          <w:szCs w:val="20"/>
          <w:lang w:val="fr-FR"/>
        </w:rPr>
        <w:t>’</w:t>
      </w:r>
      <w:r w:rsidRPr="00A86354" w:rsidR="00A028D8">
        <w:rPr>
          <w:rFonts w:cs="Arial"/>
          <w:sz w:val="20"/>
          <w:szCs w:val="20"/>
          <w:lang w:val="fr-FR"/>
        </w:rPr>
        <w:t>établissements scolaires proches.</w:t>
      </w:r>
      <w:r w:rsidRPr="00A86354" w:rsidR="00486C88">
        <w:rPr>
          <w:rFonts w:cs="Arial"/>
          <w:sz w:val="20"/>
          <w:szCs w:val="20"/>
          <w:lang w:val="fr-FR"/>
        </w:rPr>
        <w:t xml:space="preserve"> </w:t>
      </w:r>
      <w:r w:rsidRPr="00A86354" w:rsidR="00A028D8">
        <w:rPr>
          <w:rFonts w:cs="Arial"/>
          <w:sz w:val="20"/>
          <w:szCs w:val="20"/>
          <w:lang w:val="fr-FR"/>
        </w:rPr>
        <w:t xml:space="preserve">Il y avait </w:t>
      </w:r>
      <w:r w:rsidRPr="00A86354" w:rsidR="00486C88">
        <w:rPr>
          <w:rFonts w:cs="Arial"/>
          <w:sz w:val="20"/>
          <w:szCs w:val="20"/>
          <w:lang w:val="fr-FR"/>
        </w:rPr>
        <w:t xml:space="preserve">490 </w:t>
      </w:r>
      <w:r w:rsidRPr="00A86354" w:rsidR="00A028D8">
        <w:rPr>
          <w:rFonts w:cs="Arial"/>
          <w:sz w:val="20"/>
          <w:szCs w:val="20"/>
          <w:lang w:val="fr-FR"/>
        </w:rPr>
        <w:t xml:space="preserve">établissements de ce type en France en </w:t>
      </w:r>
      <w:r w:rsidRPr="00A86354" w:rsidR="00486C88">
        <w:rPr>
          <w:rFonts w:cs="Arial"/>
          <w:sz w:val="20"/>
          <w:szCs w:val="20"/>
          <w:lang w:val="fr-FR"/>
        </w:rPr>
        <w:t>2020</w:t>
      </w:r>
      <w:r w:rsidRPr="00A86354" w:rsidR="00C174AD">
        <w:rPr>
          <w:rFonts w:cs="Arial"/>
          <w:sz w:val="20"/>
          <w:szCs w:val="20"/>
          <w:lang w:val="fr-FR"/>
        </w:rPr>
        <w:t> ;</w:t>
      </w:r>
    </w:p>
    <w:p w:rsidRPr="00A86354" w:rsidR="00023EDC" w:rsidP="00CE016A" w:rsidRDefault="00023EDC" w14:paraId="308F2281" w14:textId="7C16D0E2">
      <w:pPr>
        <w:pStyle w:val="ListParagraph"/>
        <w:numPr>
          <w:ilvl w:val="0"/>
          <w:numId w:val="2"/>
        </w:numPr>
        <w:rPr>
          <w:rFonts w:cs="Arial"/>
          <w:sz w:val="20"/>
          <w:szCs w:val="20"/>
          <w:lang w:val="fr-FR"/>
        </w:rPr>
      </w:pPr>
      <w:r w:rsidRPr="00A86354">
        <w:rPr>
          <w:rFonts w:cs="Arial"/>
          <w:sz w:val="20"/>
          <w:szCs w:val="20"/>
          <w:lang w:val="fr-FR"/>
        </w:rPr>
        <w:t>IEM</w:t>
      </w:r>
      <w:r w:rsidRPr="00A86354" w:rsidR="00C174AD">
        <w:rPr>
          <w:rFonts w:cs="Arial"/>
          <w:sz w:val="20"/>
          <w:szCs w:val="20"/>
          <w:lang w:val="fr-FR"/>
        </w:rPr>
        <w:t xml:space="preserve"> (instituts d'éducation motrice)</w:t>
      </w:r>
      <w:r w:rsidRPr="00A86354" w:rsidR="000807D5">
        <w:rPr>
          <w:rFonts w:cs="Arial"/>
          <w:sz w:val="20"/>
          <w:szCs w:val="20"/>
          <w:lang w:val="fr-FR"/>
        </w:rPr>
        <w:t> :</w:t>
      </w:r>
      <w:r w:rsidRPr="00A86354" w:rsidR="008B0EC1">
        <w:rPr>
          <w:rFonts w:ascii="Helvetica" w:hAnsi="Helvetica" w:cs="Helvetica"/>
          <w:color w:val="000000"/>
          <w:sz w:val="22"/>
          <w:szCs w:val="22"/>
          <w:shd w:val="clear" w:color="auto" w:fill="FFFFFF"/>
          <w:lang w:val="fr-FR"/>
        </w:rPr>
        <w:t xml:space="preserve"> </w:t>
      </w:r>
      <w:r w:rsidRPr="00A86354" w:rsidR="008B0EC1">
        <w:rPr>
          <w:rFonts w:cs="Arial"/>
          <w:sz w:val="20"/>
          <w:szCs w:val="20"/>
          <w:lang w:val="fr-FR"/>
        </w:rPr>
        <w:t>ces établissements accueillent des enfants présentant une déficience motrice importante entraînant une restriction extrême de leur autonomie. Certains établissements sont spécialisés dans l</w:t>
      </w:r>
      <w:r w:rsidRPr="00A86354" w:rsidR="0006032C">
        <w:rPr>
          <w:rFonts w:cs="Arial"/>
          <w:sz w:val="20"/>
          <w:szCs w:val="20"/>
          <w:lang w:val="fr-FR"/>
        </w:rPr>
        <w:t>’</w:t>
      </w:r>
      <w:r w:rsidRPr="00A86354" w:rsidR="008B0EC1">
        <w:rPr>
          <w:rFonts w:cs="Arial"/>
          <w:sz w:val="20"/>
          <w:szCs w:val="20"/>
          <w:lang w:val="fr-FR"/>
        </w:rPr>
        <w:t xml:space="preserve">accueil des enfants polyhandicapés.  Il existe </w:t>
      </w:r>
      <w:r w:rsidRPr="00A86354" w:rsidR="008B0EC1">
        <w:rPr>
          <w:rFonts w:cs="Arial"/>
          <w:sz w:val="20"/>
          <w:szCs w:val="20"/>
          <w:lang w:val="fr-FR"/>
        </w:rPr>
        <w:lastRenderedPageBreak/>
        <w:t>également des établissements d</w:t>
      </w:r>
      <w:r w:rsidRPr="00A86354" w:rsidR="0006032C">
        <w:rPr>
          <w:rFonts w:cs="Arial"/>
          <w:sz w:val="20"/>
          <w:szCs w:val="20"/>
          <w:lang w:val="fr-FR"/>
        </w:rPr>
        <w:t>’</w:t>
      </w:r>
      <w:r w:rsidRPr="00A86354" w:rsidR="008B0EC1">
        <w:rPr>
          <w:rFonts w:cs="Arial"/>
          <w:sz w:val="20"/>
          <w:szCs w:val="20"/>
          <w:lang w:val="fr-FR"/>
        </w:rPr>
        <w:t>éducation sensorielle pour déficients visuels et pour déficients auditifs.</w:t>
      </w:r>
      <w:r w:rsidRPr="00A86354" w:rsidR="00A028D8">
        <w:rPr>
          <w:rFonts w:cs="Arial"/>
          <w:sz w:val="20"/>
          <w:szCs w:val="20"/>
          <w:lang w:val="fr-FR"/>
        </w:rPr>
        <w:t xml:space="preserve"> Il y avait </w:t>
      </w:r>
      <w:r w:rsidRPr="00A86354" w:rsidR="00486C88">
        <w:rPr>
          <w:rFonts w:cs="Arial"/>
          <w:sz w:val="20"/>
          <w:szCs w:val="20"/>
          <w:lang w:val="fr-FR"/>
        </w:rPr>
        <w:t xml:space="preserve">146 </w:t>
      </w:r>
      <w:r w:rsidRPr="00A86354" w:rsidR="00A028D8">
        <w:rPr>
          <w:rFonts w:cs="Arial"/>
          <w:sz w:val="20"/>
          <w:szCs w:val="20"/>
          <w:lang w:val="fr-FR"/>
        </w:rPr>
        <w:t>établissements de ce type en France en 2020</w:t>
      </w:r>
      <w:r w:rsidRPr="00A86354" w:rsidR="00486C88">
        <w:rPr>
          <w:rFonts w:cs="Arial"/>
          <w:sz w:val="20"/>
          <w:szCs w:val="20"/>
          <w:lang w:val="fr-FR"/>
        </w:rPr>
        <w:t xml:space="preserve">. </w:t>
      </w:r>
    </w:p>
    <w:p w:rsidRPr="00A86354" w:rsidR="00023EDC" w:rsidP="00164744" w:rsidRDefault="00023EDC" w14:paraId="488E00D4" w14:textId="0AC294AB">
      <w:pPr>
        <w:rPr>
          <w:rFonts w:ascii="Arial" w:hAnsi="Arial" w:cs="Arial"/>
          <w:lang w:val="fr-FR"/>
        </w:rPr>
      </w:pPr>
    </w:p>
    <w:p w:rsidRPr="00A86354" w:rsidR="00023EDC" w:rsidP="00A163C3" w:rsidRDefault="006270C5" w14:paraId="65CE1AD1" w14:textId="444EE183">
      <w:pPr>
        <w:keepNext/>
        <w:rPr>
          <w:rFonts w:ascii="Arial" w:hAnsi="Arial" w:cs="Arial"/>
          <w:lang w:val="fr-FR"/>
        </w:rPr>
      </w:pPr>
      <w:r w:rsidRPr="00A86354">
        <w:rPr>
          <w:rFonts w:ascii="Arial" w:hAnsi="Arial" w:cs="Arial"/>
          <w:lang w:val="fr-FR"/>
        </w:rPr>
        <w:t>Pour les adultes</w:t>
      </w:r>
      <w:r w:rsidRPr="00A86354" w:rsidR="000807D5">
        <w:rPr>
          <w:rFonts w:ascii="Arial" w:hAnsi="Arial" w:cs="Arial"/>
          <w:lang w:val="fr-FR"/>
        </w:rPr>
        <w:t> :</w:t>
      </w:r>
      <w:r w:rsidRPr="00A86354" w:rsidR="00023EDC">
        <w:rPr>
          <w:rFonts w:ascii="Arial" w:hAnsi="Arial" w:cs="Arial"/>
          <w:lang w:val="fr-FR"/>
        </w:rPr>
        <w:t xml:space="preserve"> </w:t>
      </w:r>
    </w:p>
    <w:p w:rsidRPr="00A86354" w:rsidR="00023EDC" w:rsidP="00A163C3" w:rsidRDefault="00023EDC" w14:paraId="3048CCB9" w14:textId="77777777">
      <w:pPr>
        <w:keepNext/>
        <w:ind w:firstLine="284"/>
        <w:rPr>
          <w:rFonts w:ascii="Arial" w:hAnsi="Arial" w:cs="Arial"/>
          <w:b/>
          <w:bCs/>
          <w:lang w:val="fr-FR"/>
        </w:rPr>
      </w:pPr>
    </w:p>
    <w:p w:rsidRPr="00A86354" w:rsidR="00023EDC" w:rsidP="00CE016A" w:rsidRDefault="006270C5" w14:paraId="58586183" w14:textId="5B4E3D7A">
      <w:pPr>
        <w:pStyle w:val="ListParagraph"/>
        <w:keepNext/>
        <w:numPr>
          <w:ilvl w:val="0"/>
          <w:numId w:val="2"/>
        </w:numPr>
        <w:rPr>
          <w:rFonts w:cs="Arial"/>
          <w:sz w:val="20"/>
          <w:szCs w:val="20"/>
          <w:lang w:val="fr-FR"/>
        </w:rPr>
      </w:pPr>
      <w:r w:rsidRPr="00A86354">
        <w:rPr>
          <w:rFonts w:cs="Arial"/>
          <w:sz w:val="20"/>
          <w:szCs w:val="20"/>
          <w:lang w:val="fr-FR"/>
        </w:rPr>
        <w:t>FAM (foyer d</w:t>
      </w:r>
      <w:r w:rsidRPr="00A86354" w:rsidR="0006032C">
        <w:rPr>
          <w:rFonts w:cs="Arial"/>
          <w:sz w:val="20"/>
          <w:szCs w:val="20"/>
          <w:lang w:val="fr-FR"/>
        </w:rPr>
        <w:t>’</w:t>
      </w:r>
      <w:r w:rsidRPr="00A86354">
        <w:rPr>
          <w:rFonts w:cs="Arial"/>
          <w:sz w:val="20"/>
          <w:szCs w:val="20"/>
          <w:lang w:val="fr-FR"/>
        </w:rPr>
        <w:t>accueil médicalisé)</w:t>
      </w:r>
      <w:r w:rsidRPr="00A86354" w:rsidR="000807D5">
        <w:rPr>
          <w:rFonts w:cs="Arial"/>
          <w:sz w:val="20"/>
          <w:szCs w:val="20"/>
          <w:lang w:val="fr-FR"/>
        </w:rPr>
        <w:t> :</w:t>
      </w:r>
      <w:r w:rsidRPr="00A86354">
        <w:rPr>
          <w:rFonts w:cs="Arial"/>
          <w:sz w:val="20"/>
          <w:szCs w:val="20"/>
          <w:lang w:val="fr-FR"/>
        </w:rPr>
        <w:t xml:space="preserve"> ces foyers accueillent des adultes handicapés qui ont besoin d</w:t>
      </w:r>
      <w:r w:rsidRPr="00A86354" w:rsidR="0006032C">
        <w:rPr>
          <w:rFonts w:cs="Arial"/>
          <w:sz w:val="20"/>
          <w:szCs w:val="20"/>
          <w:lang w:val="fr-FR"/>
        </w:rPr>
        <w:t>’</w:t>
      </w:r>
      <w:r w:rsidRPr="00A86354">
        <w:rPr>
          <w:rFonts w:cs="Arial"/>
          <w:sz w:val="20"/>
          <w:szCs w:val="20"/>
          <w:lang w:val="fr-FR"/>
        </w:rPr>
        <w:t>un suivi médical régulier. Ces établissements proposent un accompagnement pour effectuer les actes essentiels de la vie courante, une surveillance médicale et une aide éducative pour favoriser le maintien ou l</w:t>
      </w:r>
      <w:r w:rsidRPr="00A86354" w:rsidR="0006032C">
        <w:rPr>
          <w:rFonts w:cs="Arial"/>
          <w:sz w:val="20"/>
          <w:szCs w:val="20"/>
          <w:lang w:val="fr-FR"/>
        </w:rPr>
        <w:t>’</w:t>
      </w:r>
      <w:r w:rsidRPr="00A86354">
        <w:rPr>
          <w:rFonts w:cs="Arial"/>
          <w:sz w:val="20"/>
          <w:szCs w:val="20"/>
          <w:lang w:val="fr-FR"/>
        </w:rPr>
        <w:t>acquisition d</w:t>
      </w:r>
      <w:r w:rsidRPr="00A86354" w:rsidR="0006032C">
        <w:rPr>
          <w:rFonts w:cs="Arial"/>
          <w:sz w:val="20"/>
          <w:szCs w:val="20"/>
          <w:lang w:val="fr-FR"/>
        </w:rPr>
        <w:t>’</w:t>
      </w:r>
      <w:r w:rsidRPr="00A86354">
        <w:rPr>
          <w:rFonts w:cs="Arial"/>
          <w:sz w:val="20"/>
          <w:szCs w:val="20"/>
          <w:lang w:val="fr-FR"/>
        </w:rPr>
        <w:t>une plus grande autonomie. Les FAM sont financés à la fois par l</w:t>
      </w:r>
      <w:r w:rsidRPr="00A86354" w:rsidR="0006032C">
        <w:rPr>
          <w:rFonts w:cs="Arial"/>
          <w:sz w:val="20"/>
          <w:szCs w:val="20"/>
          <w:lang w:val="fr-FR"/>
        </w:rPr>
        <w:t>’</w:t>
      </w:r>
      <w:r w:rsidRPr="00A86354">
        <w:rPr>
          <w:rFonts w:cs="Arial"/>
          <w:sz w:val="20"/>
          <w:szCs w:val="20"/>
          <w:lang w:val="fr-FR"/>
        </w:rPr>
        <w:t xml:space="preserve">assurance maladie et par les départements. </w:t>
      </w:r>
      <w:r w:rsidRPr="00A86354" w:rsidR="00A028D8">
        <w:rPr>
          <w:rFonts w:cs="Arial"/>
          <w:sz w:val="20"/>
          <w:szCs w:val="20"/>
          <w:lang w:val="fr-FR"/>
        </w:rPr>
        <w:t xml:space="preserve">Il y avait </w:t>
      </w:r>
      <w:r w:rsidRPr="00A86354" w:rsidR="00486C88">
        <w:rPr>
          <w:rFonts w:cs="Arial"/>
          <w:sz w:val="20"/>
          <w:szCs w:val="20"/>
          <w:lang w:val="fr-FR"/>
        </w:rPr>
        <w:t>1</w:t>
      </w:r>
      <w:r w:rsidRPr="00A86354">
        <w:rPr>
          <w:rFonts w:cs="Arial"/>
          <w:sz w:val="20"/>
          <w:szCs w:val="20"/>
          <w:lang w:val="fr-FR"/>
        </w:rPr>
        <w:t> </w:t>
      </w:r>
      <w:r w:rsidRPr="00A86354" w:rsidR="00486C88">
        <w:rPr>
          <w:rFonts w:cs="Arial"/>
          <w:sz w:val="20"/>
          <w:szCs w:val="20"/>
          <w:lang w:val="fr-FR"/>
        </w:rPr>
        <w:t xml:space="preserve">014 </w:t>
      </w:r>
      <w:r w:rsidRPr="00A86354">
        <w:rPr>
          <w:rFonts w:cs="Arial"/>
          <w:sz w:val="20"/>
          <w:szCs w:val="20"/>
          <w:lang w:val="fr-FR"/>
        </w:rPr>
        <w:t xml:space="preserve">établissements de ce type en France en </w:t>
      </w:r>
      <w:r w:rsidRPr="00A86354" w:rsidR="00486C88">
        <w:rPr>
          <w:rFonts w:cs="Arial"/>
          <w:sz w:val="20"/>
          <w:szCs w:val="20"/>
          <w:lang w:val="fr-FR"/>
        </w:rPr>
        <w:t>2020</w:t>
      </w:r>
      <w:r w:rsidRPr="00A86354" w:rsidR="00327F0C">
        <w:rPr>
          <w:rFonts w:cs="Arial"/>
          <w:sz w:val="20"/>
          <w:szCs w:val="20"/>
          <w:lang w:val="fr-FR"/>
        </w:rPr>
        <w:t> ;</w:t>
      </w:r>
    </w:p>
    <w:p w:rsidRPr="00A86354" w:rsidR="00486C88" w:rsidP="00CE016A" w:rsidRDefault="00023EDC" w14:paraId="575F9688" w14:textId="31C488E2">
      <w:pPr>
        <w:pStyle w:val="ListParagraph"/>
        <w:numPr>
          <w:ilvl w:val="0"/>
          <w:numId w:val="2"/>
        </w:numPr>
        <w:rPr>
          <w:rFonts w:cs="Arial"/>
          <w:sz w:val="20"/>
          <w:szCs w:val="20"/>
          <w:lang w:val="fr-FR"/>
        </w:rPr>
      </w:pPr>
      <w:r w:rsidRPr="00A86354">
        <w:rPr>
          <w:rFonts w:cs="Arial"/>
          <w:sz w:val="20"/>
          <w:szCs w:val="20"/>
          <w:lang w:val="fr-FR"/>
        </w:rPr>
        <w:t xml:space="preserve">MAS </w:t>
      </w:r>
      <w:r w:rsidRPr="00A86354" w:rsidR="006270C5">
        <w:rPr>
          <w:rFonts w:cs="Arial"/>
          <w:sz w:val="20"/>
          <w:szCs w:val="20"/>
          <w:lang w:val="fr-FR"/>
        </w:rPr>
        <w:t>(maison d</w:t>
      </w:r>
      <w:r w:rsidRPr="00A86354" w:rsidR="0006032C">
        <w:rPr>
          <w:rFonts w:cs="Arial"/>
          <w:sz w:val="20"/>
          <w:szCs w:val="20"/>
          <w:lang w:val="fr-FR"/>
        </w:rPr>
        <w:t>’</w:t>
      </w:r>
      <w:r w:rsidRPr="00A86354" w:rsidR="006270C5">
        <w:rPr>
          <w:rFonts w:cs="Arial"/>
          <w:sz w:val="20"/>
          <w:szCs w:val="20"/>
          <w:lang w:val="fr-FR"/>
        </w:rPr>
        <w:t>accueil spécialisée)</w:t>
      </w:r>
      <w:r w:rsidRPr="00A86354" w:rsidR="000807D5">
        <w:rPr>
          <w:rFonts w:cs="Arial"/>
          <w:sz w:val="20"/>
          <w:szCs w:val="20"/>
          <w:lang w:val="fr-FR"/>
        </w:rPr>
        <w:t> :</w:t>
      </w:r>
      <w:r w:rsidRPr="00A86354" w:rsidR="006270C5">
        <w:rPr>
          <w:rFonts w:cs="Arial"/>
          <w:sz w:val="20"/>
          <w:szCs w:val="20"/>
          <w:lang w:val="fr-FR"/>
        </w:rPr>
        <w:t xml:space="preserve"> ces établissements médico-sociaux reçoivent des adultes lourdement handicapés qui ne peuvent effectuer seuls les actes essentiels de la vie, et dont l</w:t>
      </w:r>
      <w:r w:rsidRPr="00A86354" w:rsidR="0006032C">
        <w:rPr>
          <w:rFonts w:cs="Arial"/>
          <w:sz w:val="20"/>
          <w:szCs w:val="20"/>
          <w:lang w:val="fr-FR"/>
        </w:rPr>
        <w:t>’</w:t>
      </w:r>
      <w:r w:rsidRPr="00A86354" w:rsidR="006270C5">
        <w:rPr>
          <w:rFonts w:cs="Arial"/>
          <w:sz w:val="20"/>
          <w:szCs w:val="20"/>
          <w:lang w:val="fr-FR"/>
        </w:rPr>
        <w:t xml:space="preserve">état nécessite le recours à une tierce personne pour les actes de la vie courante, une surveillance médicale et des soins constants. </w:t>
      </w:r>
      <w:r w:rsidRPr="00A86354" w:rsidR="00A028D8">
        <w:rPr>
          <w:rFonts w:cs="Arial"/>
          <w:sz w:val="20"/>
          <w:szCs w:val="20"/>
          <w:lang w:val="fr-FR"/>
        </w:rPr>
        <w:t xml:space="preserve">Il y avait </w:t>
      </w:r>
      <w:r w:rsidRPr="00A86354" w:rsidR="00486C88">
        <w:rPr>
          <w:rFonts w:cs="Arial"/>
          <w:sz w:val="20"/>
          <w:szCs w:val="20"/>
          <w:lang w:val="fr-FR"/>
        </w:rPr>
        <w:t xml:space="preserve">715 </w:t>
      </w:r>
      <w:r w:rsidRPr="00A86354" w:rsidR="006270C5">
        <w:rPr>
          <w:rFonts w:cs="Arial"/>
          <w:sz w:val="20"/>
          <w:szCs w:val="20"/>
          <w:lang w:val="fr-FR"/>
        </w:rPr>
        <w:t xml:space="preserve">établissements de ce type en France en </w:t>
      </w:r>
      <w:r w:rsidRPr="00A86354" w:rsidR="00486C88">
        <w:rPr>
          <w:rFonts w:cs="Arial"/>
          <w:sz w:val="20"/>
          <w:szCs w:val="20"/>
          <w:lang w:val="fr-FR"/>
        </w:rPr>
        <w:t>2020</w:t>
      </w:r>
      <w:r w:rsidRPr="00A86354" w:rsidR="00327F0C">
        <w:rPr>
          <w:rFonts w:cs="Arial"/>
          <w:sz w:val="20"/>
          <w:szCs w:val="20"/>
          <w:lang w:val="fr-FR"/>
        </w:rPr>
        <w:t> ;</w:t>
      </w:r>
    </w:p>
    <w:p w:rsidRPr="00A86354" w:rsidR="00023EDC" w:rsidP="00CE016A" w:rsidRDefault="00327F0C" w14:paraId="4316522D" w14:textId="771AD84A">
      <w:pPr>
        <w:pStyle w:val="ListParagraph"/>
        <w:numPr>
          <w:ilvl w:val="0"/>
          <w:numId w:val="2"/>
        </w:numPr>
        <w:rPr>
          <w:rFonts w:cs="Arial"/>
          <w:sz w:val="20"/>
          <w:szCs w:val="20"/>
          <w:lang w:val="fr-FR"/>
        </w:rPr>
      </w:pPr>
      <w:r w:rsidRPr="00A86354">
        <w:rPr>
          <w:rFonts w:cs="Arial"/>
          <w:sz w:val="20"/>
          <w:szCs w:val="20"/>
          <w:lang w:val="fr-FR"/>
        </w:rPr>
        <w:t>f</w:t>
      </w:r>
      <w:r w:rsidRPr="00A86354" w:rsidR="006270C5">
        <w:rPr>
          <w:rFonts w:cs="Arial"/>
          <w:sz w:val="20"/>
          <w:szCs w:val="20"/>
          <w:lang w:val="fr-FR"/>
        </w:rPr>
        <w:t xml:space="preserve">oyer de vie ou </w:t>
      </w:r>
      <w:r w:rsidRPr="00A86354" w:rsidR="000807D5">
        <w:rPr>
          <w:rFonts w:cs="Arial"/>
          <w:sz w:val="20"/>
          <w:szCs w:val="20"/>
          <w:lang w:val="fr-FR"/>
        </w:rPr>
        <w:t>« </w:t>
      </w:r>
      <w:r w:rsidRPr="00A86354" w:rsidR="006270C5">
        <w:rPr>
          <w:rFonts w:cs="Arial"/>
          <w:sz w:val="20"/>
          <w:szCs w:val="20"/>
          <w:lang w:val="fr-FR"/>
        </w:rPr>
        <w:t>occupationnel</w:t>
      </w:r>
      <w:r w:rsidRPr="00A86354" w:rsidR="000807D5">
        <w:rPr>
          <w:rFonts w:cs="Arial"/>
          <w:sz w:val="20"/>
          <w:szCs w:val="20"/>
          <w:lang w:val="fr-FR"/>
        </w:rPr>
        <w:t> »</w:t>
      </w:r>
      <w:r w:rsidRPr="00A86354" w:rsidR="006270C5">
        <w:rPr>
          <w:rFonts w:cs="Arial"/>
          <w:sz w:val="20"/>
          <w:szCs w:val="20"/>
          <w:lang w:val="fr-FR"/>
        </w:rPr>
        <w:t>, foyer d</w:t>
      </w:r>
      <w:r w:rsidRPr="00A86354" w:rsidR="0006032C">
        <w:rPr>
          <w:rFonts w:cs="Arial"/>
          <w:sz w:val="20"/>
          <w:szCs w:val="20"/>
          <w:lang w:val="fr-FR"/>
        </w:rPr>
        <w:t>’</w:t>
      </w:r>
      <w:r w:rsidRPr="00A86354" w:rsidR="006270C5">
        <w:rPr>
          <w:rFonts w:cs="Arial"/>
          <w:sz w:val="20"/>
          <w:szCs w:val="20"/>
          <w:lang w:val="fr-FR"/>
        </w:rPr>
        <w:t>hébergement pour travailleurs handicapés</w:t>
      </w:r>
      <w:r w:rsidRPr="00A86354" w:rsidR="000807D5">
        <w:rPr>
          <w:rFonts w:cs="Arial"/>
          <w:sz w:val="20"/>
          <w:szCs w:val="20"/>
          <w:lang w:val="fr-FR"/>
        </w:rPr>
        <w:t> :</w:t>
      </w:r>
      <w:r w:rsidRPr="00A86354" w:rsidR="006270C5">
        <w:rPr>
          <w:rFonts w:cs="Arial"/>
          <w:sz w:val="20"/>
          <w:szCs w:val="20"/>
          <w:lang w:val="fr-FR"/>
        </w:rPr>
        <w:t xml:space="preserve"> certains accueillent des personnes qui ne sont pas en mesure de travailler, mais qui disposent d</w:t>
      </w:r>
      <w:r w:rsidRPr="00A86354" w:rsidR="0006032C">
        <w:rPr>
          <w:rFonts w:cs="Arial"/>
          <w:sz w:val="20"/>
          <w:szCs w:val="20"/>
          <w:lang w:val="fr-FR"/>
        </w:rPr>
        <w:t>’</w:t>
      </w:r>
      <w:r w:rsidRPr="00A86354" w:rsidR="006270C5">
        <w:rPr>
          <w:rFonts w:cs="Arial"/>
          <w:sz w:val="20"/>
          <w:szCs w:val="20"/>
          <w:lang w:val="fr-FR"/>
        </w:rPr>
        <w:t xml:space="preserve">une certaine autonomie physique ou intellectuelle. Ces foyers de </w:t>
      </w:r>
      <w:r w:rsidRPr="00A86354" w:rsidR="000807D5">
        <w:rPr>
          <w:rFonts w:cs="Arial"/>
          <w:sz w:val="20"/>
          <w:szCs w:val="20"/>
          <w:lang w:val="fr-FR"/>
        </w:rPr>
        <w:t>« </w:t>
      </w:r>
      <w:r w:rsidRPr="00A86354" w:rsidR="006270C5">
        <w:rPr>
          <w:rFonts w:cs="Arial"/>
          <w:sz w:val="20"/>
          <w:szCs w:val="20"/>
          <w:lang w:val="fr-FR"/>
        </w:rPr>
        <w:t>vie</w:t>
      </w:r>
      <w:r w:rsidRPr="00A86354" w:rsidR="000807D5">
        <w:rPr>
          <w:rFonts w:cs="Arial"/>
          <w:sz w:val="20"/>
          <w:szCs w:val="20"/>
          <w:lang w:val="fr-FR"/>
        </w:rPr>
        <w:t> »</w:t>
      </w:r>
      <w:r w:rsidRPr="00A86354" w:rsidR="006270C5">
        <w:rPr>
          <w:rFonts w:cs="Arial"/>
          <w:sz w:val="20"/>
          <w:szCs w:val="20"/>
          <w:lang w:val="fr-FR"/>
        </w:rPr>
        <w:t xml:space="preserve"> peuvent offrir un accueil à la journée ou à temps complet. D</w:t>
      </w:r>
      <w:r w:rsidRPr="00A86354" w:rsidR="0006032C">
        <w:rPr>
          <w:rFonts w:cs="Arial"/>
          <w:sz w:val="20"/>
          <w:szCs w:val="20"/>
          <w:lang w:val="fr-FR"/>
        </w:rPr>
        <w:t>’</w:t>
      </w:r>
      <w:r w:rsidRPr="00A86354" w:rsidR="006270C5">
        <w:rPr>
          <w:rFonts w:cs="Arial"/>
          <w:sz w:val="20"/>
          <w:szCs w:val="20"/>
          <w:lang w:val="fr-FR"/>
        </w:rPr>
        <w:t>autres établissements assurent l</w:t>
      </w:r>
      <w:r w:rsidRPr="00A86354" w:rsidR="0006032C">
        <w:rPr>
          <w:rFonts w:cs="Arial"/>
          <w:sz w:val="20"/>
          <w:szCs w:val="20"/>
          <w:lang w:val="fr-FR"/>
        </w:rPr>
        <w:t>’</w:t>
      </w:r>
      <w:r w:rsidRPr="00A86354" w:rsidR="006270C5">
        <w:rPr>
          <w:rFonts w:cs="Arial"/>
          <w:sz w:val="20"/>
          <w:szCs w:val="20"/>
          <w:lang w:val="fr-FR"/>
        </w:rPr>
        <w:t>hébergement des travailleurs handicapés exerçant une activité pendant la journée en milieu protégé ou ordinaire.</w:t>
      </w:r>
      <w:r w:rsidRPr="00A86354" w:rsidR="00A028D8">
        <w:rPr>
          <w:rFonts w:cs="Arial"/>
          <w:sz w:val="20"/>
          <w:szCs w:val="20"/>
          <w:lang w:val="fr-FR"/>
        </w:rPr>
        <w:t xml:space="preserve"> Il y avait </w:t>
      </w:r>
      <w:r w:rsidRPr="00A86354" w:rsidR="00486C88">
        <w:rPr>
          <w:rFonts w:cs="Arial"/>
          <w:sz w:val="20"/>
          <w:szCs w:val="20"/>
          <w:lang w:val="fr-FR"/>
        </w:rPr>
        <w:t>3</w:t>
      </w:r>
      <w:r w:rsidRPr="00A86354" w:rsidR="006270C5">
        <w:rPr>
          <w:rFonts w:cs="Arial"/>
          <w:sz w:val="20"/>
          <w:szCs w:val="20"/>
          <w:lang w:val="fr-FR"/>
        </w:rPr>
        <w:t> </w:t>
      </w:r>
      <w:r w:rsidRPr="00A86354" w:rsidR="00486C88">
        <w:rPr>
          <w:rFonts w:cs="Arial"/>
          <w:sz w:val="20"/>
          <w:szCs w:val="20"/>
          <w:lang w:val="fr-FR"/>
        </w:rPr>
        <w:t xml:space="preserve">186 </w:t>
      </w:r>
      <w:r w:rsidRPr="00A86354" w:rsidR="006270C5">
        <w:rPr>
          <w:rFonts w:cs="Arial"/>
          <w:sz w:val="20"/>
          <w:szCs w:val="20"/>
          <w:lang w:val="fr-FR"/>
        </w:rPr>
        <w:t xml:space="preserve">établissements de ce type en France en </w:t>
      </w:r>
      <w:r w:rsidRPr="00A86354" w:rsidR="00486C88">
        <w:rPr>
          <w:rFonts w:cs="Arial"/>
          <w:sz w:val="20"/>
          <w:szCs w:val="20"/>
          <w:lang w:val="fr-FR"/>
        </w:rPr>
        <w:t>2020</w:t>
      </w:r>
      <w:r w:rsidRPr="00A86354">
        <w:rPr>
          <w:rFonts w:cs="Arial"/>
          <w:sz w:val="20"/>
          <w:szCs w:val="20"/>
          <w:lang w:val="fr-FR"/>
        </w:rPr>
        <w:t> ;</w:t>
      </w:r>
    </w:p>
    <w:p w:rsidRPr="00A86354" w:rsidR="00023EDC" w:rsidP="00CE016A" w:rsidRDefault="00023EDC" w14:paraId="4A5B71D9" w14:textId="0FD5FC0D">
      <w:pPr>
        <w:pStyle w:val="ListParagraph"/>
        <w:numPr>
          <w:ilvl w:val="0"/>
          <w:numId w:val="2"/>
        </w:numPr>
        <w:rPr>
          <w:rFonts w:cs="Arial"/>
          <w:sz w:val="20"/>
          <w:szCs w:val="20"/>
          <w:lang w:val="fr-FR"/>
        </w:rPr>
      </w:pPr>
      <w:r w:rsidRPr="00A86354">
        <w:rPr>
          <w:rFonts w:cs="Arial"/>
          <w:sz w:val="20"/>
          <w:szCs w:val="20"/>
          <w:lang w:val="fr-FR"/>
        </w:rPr>
        <w:t xml:space="preserve">CRP </w:t>
      </w:r>
      <w:r w:rsidRPr="00A86354" w:rsidR="00751400">
        <w:rPr>
          <w:rFonts w:cs="Arial"/>
          <w:sz w:val="20"/>
          <w:szCs w:val="20"/>
          <w:lang w:val="fr-FR"/>
        </w:rPr>
        <w:t>(centre de rééducation professionnelle)</w:t>
      </w:r>
      <w:r w:rsidRPr="00A86354" w:rsidR="000807D5">
        <w:rPr>
          <w:rFonts w:cs="Arial"/>
          <w:sz w:val="20"/>
          <w:szCs w:val="20"/>
          <w:lang w:val="fr-FR"/>
        </w:rPr>
        <w:t> :</w:t>
      </w:r>
      <w:r w:rsidRPr="00A86354" w:rsidR="00751400">
        <w:rPr>
          <w:rFonts w:cs="Arial"/>
          <w:sz w:val="20"/>
          <w:szCs w:val="20"/>
          <w:lang w:val="fr-FR"/>
        </w:rPr>
        <w:t xml:space="preserve"> leur mission consiste à dispenser une formation qualifiante aux personnes handicapées en vue de leur insertion ou réinsertion professionnelle, soit vers le milieu de travail ordinaire, soit vers le milieu protégé</w:t>
      </w:r>
      <w:r w:rsidRPr="00A86354" w:rsidR="00327F0C">
        <w:rPr>
          <w:rFonts w:cs="Arial"/>
          <w:sz w:val="20"/>
          <w:szCs w:val="20"/>
          <w:lang w:val="fr-FR"/>
        </w:rPr>
        <w:t> ;</w:t>
      </w:r>
    </w:p>
    <w:p w:rsidRPr="00A86354" w:rsidR="00023EDC" w:rsidP="00CE016A" w:rsidRDefault="00023EDC" w14:paraId="0A0BD24E" w14:textId="615599A1">
      <w:pPr>
        <w:pStyle w:val="ListParagraph"/>
        <w:numPr>
          <w:ilvl w:val="0"/>
          <w:numId w:val="2"/>
        </w:numPr>
        <w:rPr>
          <w:rFonts w:cs="Arial"/>
          <w:sz w:val="20"/>
          <w:szCs w:val="20"/>
          <w:lang w:val="fr-FR"/>
        </w:rPr>
      </w:pPr>
      <w:r w:rsidRPr="00A86354">
        <w:rPr>
          <w:rFonts w:cs="Arial"/>
          <w:sz w:val="20"/>
          <w:szCs w:val="20"/>
          <w:lang w:val="fr-FR"/>
        </w:rPr>
        <w:t>ESAT (</w:t>
      </w:r>
      <w:r w:rsidRPr="00A86354" w:rsidR="00751400">
        <w:rPr>
          <w:rFonts w:cs="Arial"/>
          <w:sz w:val="20"/>
          <w:szCs w:val="20"/>
          <w:lang w:val="fr-FR"/>
        </w:rPr>
        <w:t>établissement et service d</w:t>
      </w:r>
      <w:r w:rsidRPr="00A86354" w:rsidR="0006032C">
        <w:rPr>
          <w:rFonts w:cs="Arial"/>
          <w:sz w:val="20"/>
          <w:szCs w:val="20"/>
          <w:lang w:val="fr-FR"/>
        </w:rPr>
        <w:t>’</w:t>
      </w:r>
      <w:r w:rsidRPr="00A86354" w:rsidR="00751400">
        <w:rPr>
          <w:rFonts w:cs="Arial"/>
          <w:sz w:val="20"/>
          <w:szCs w:val="20"/>
          <w:lang w:val="fr-FR"/>
        </w:rPr>
        <w:t>aide par le travail)</w:t>
      </w:r>
      <w:r w:rsidRPr="00A86354" w:rsidR="000807D5">
        <w:rPr>
          <w:rFonts w:cs="Arial"/>
          <w:sz w:val="20"/>
          <w:szCs w:val="20"/>
          <w:lang w:val="fr-FR"/>
        </w:rPr>
        <w:t> :</w:t>
      </w:r>
      <w:r w:rsidRPr="00A86354" w:rsidR="00751400">
        <w:rPr>
          <w:rFonts w:cs="Arial"/>
          <w:sz w:val="20"/>
          <w:szCs w:val="20"/>
          <w:lang w:val="fr-FR"/>
        </w:rPr>
        <w:t xml:space="preserve"> il s</w:t>
      </w:r>
      <w:r w:rsidRPr="00A86354" w:rsidR="0006032C">
        <w:rPr>
          <w:rFonts w:cs="Arial"/>
          <w:sz w:val="20"/>
          <w:szCs w:val="20"/>
          <w:lang w:val="fr-FR"/>
        </w:rPr>
        <w:t>’</w:t>
      </w:r>
      <w:r w:rsidRPr="00A86354" w:rsidR="00751400">
        <w:rPr>
          <w:rFonts w:cs="Arial"/>
          <w:sz w:val="20"/>
          <w:szCs w:val="20"/>
          <w:lang w:val="fr-FR"/>
        </w:rPr>
        <w:t>agit de structures de travail adapté, dans lesquelles des personnes handicapées exercent une activité professionnelle dans des conditions de travail aménagées et bénéficient d</w:t>
      </w:r>
      <w:r w:rsidRPr="00A86354" w:rsidR="0006032C">
        <w:rPr>
          <w:rFonts w:cs="Arial"/>
          <w:sz w:val="20"/>
          <w:szCs w:val="20"/>
          <w:lang w:val="fr-FR"/>
        </w:rPr>
        <w:t>’</w:t>
      </w:r>
      <w:r w:rsidRPr="00A86354" w:rsidR="00751400">
        <w:rPr>
          <w:rFonts w:cs="Arial"/>
          <w:sz w:val="20"/>
          <w:szCs w:val="20"/>
          <w:lang w:val="fr-FR"/>
        </w:rPr>
        <w:t>un soutien social et éducatif</w:t>
      </w:r>
      <w:r w:rsidRPr="00A86354" w:rsidR="00A028D8">
        <w:rPr>
          <w:rFonts w:cs="Arial"/>
          <w:sz w:val="20"/>
          <w:szCs w:val="20"/>
          <w:lang w:val="fr-FR"/>
        </w:rPr>
        <w:t xml:space="preserve">. Il y avait </w:t>
      </w:r>
      <w:r w:rsidRPr="00A86354" w:rsidR="00486C88">
        <w:rPr>
          <w:rFonts w:cs="Arial"/>
          <w:sz w:val="20"/>
          <w:szCs w:val="20"/>
          <w:lang w:val="fr-FR"/>
        </w:rPr>
        <w:t>1</w:t>
      </w:r>
      <w:r w:rsidRPr="00A86354" w:rsidR="00327F0C">
        <w:rPr>
          <w:rFonts w:cs="Arial"/>
          <w:sz w:val="20"/>
          <w:szCs w:val="20"/>
          <w:lang w:val="fr-FR"/>
        </w:rPr>
        <w:t> </w:t>
      </w:r>
      <w:r w:rsidRPr="00A86354" w:rsidR="00486C88">
        <w:rPr>
          <w:rFonts w:cs="Arial"/>
          <w:sz w:val="20"/>
          <w:szCs w:val="20"/>
          <w:lang w:val="fr-FR"/>
        </w:rPr>
        <w:t>501</w:t>
      </w:r>
      <w:r w:rsidRPr="00A86354" w:rsidR="00327F0C">
        <w:rPr>
          <w:rFonts w:cs="Arial"/>
          <w:sz w:val="20"/>
          <w:szCs w:val="20"/>
          <w:lang w:val="fr-FR"/>
        </w:rPr>
        <w:t> </w:t>
      </w:r>
      <w:r w:rsidRPr="00A86354" w:rsidR="006270C5">
        <w:rPr>
          <w:rFonts w:cs="Arial"/>
          <w:sz w:val="20"/>
          <w:szCs w:val="20"/>
          <w:lang w:val="fr-FR"/>
        </w:rPr>
        <w:t xml:space="preserve">établissements de ce type en France en </w:t>
      </w:r>
      <w:r w:rsidRPr="00A86354" w:rsidR="00486C88">
        <w:rPr>
          <w:rFonts w:cs="Arial"/>
          <w:sz w:val="20"/>
          <w:szCs w:val="20"/>
          <w:lang w:val="fr-FR"/>
        </w:rPr>
        <w:t xml:space="preserve">2020. </w:t>
      </w:r>
    </w:p>
    <w:p w:rsidRPr="00A86354" w:rsidR="00023EDC" w:rsidP="00164744" w:rsidRDefault="00023EDC" w14:paraId="6B1903D4" w14:textId="751C763B">
      <w:pPr>
        <w:rPr>
          <w:rFonts w:ascii="Arial" w:hAnsi="Arial" w:cs="Arial"/>
          <w:b/>
          <w:bCs/>
          <w:lang w:val="fr-FR"/>
        </w:rPr>
      </w:pPr>
    </w:p>
    <w:p w:rsidRPr="00A86354" w:rsidR="00486C88" w:rsidP="00CE016A" w:rsidRDefault="00836747" w14:paraId="1458734B" w14:textId="1427073B">
      <w:pPr>
        <w:pStyle w:val="ListParagraph"/>
        <w:numPr>
          <w:ilvl w:val="0"/>
          <w:numId w:val="1"/>
        </w:numPr>
        <w:ind w:left="0" w:firstLine="0"/>
        <w:rPr>
          <w:rFonts w:cs="Arial"/>
          <w:lang w:val="fr-FR"/>
        </w:rPr>
      </w:pPr>
      <w:r w:rsidRPr="00A86354">
        <w:rPr>
          <w:rFonts w:cs="Arial"/>
          <w:lang w:val="fr-FR"/>
        </w:rPr>
        <w:t>Selon les chiffres publiés par la</w:t>
      </w:r>
      <w:r w:rsidRPr="00A86354" w:rsidR="00486C88">
        <w:rPr>
          <w:rFonts w:cs="Arial"/>
          <w:lang w:val="fr-FR"/>
        </w:rPr>
        <w:t xml:space="preserve"> DREES,</w:t>
      </w:r>
      <w:r w:rsidRPr="00A86354">
        <w:rPr>
          <w:rFonts w:cs="Arial"/>
          <w:lang w:val="fr-FR"/>
        </w:rPr>
        <w:t xml:space="preserve"> il y avait 505 273 </w:t>
      </w:r>
      <w:r w:rsidRPr="00A86354" w:rsidR="00486C88">
        <w:rPr>
          <w:rFonts w:cs="Arial"/>
          <w:lang w:val="fr-FR"/>
        </w:rPr>
        <w:t xml:space="preserve">places </w:t>
      </w:r>
      <w:r w:rsidRPr="00A86354">
        <w:rPr>
          <w:rFonts w:cs="Arial"/>
          <w:lang w:val="fr-FR"/>
        </w:rPr>
        <w:t xml:space="preserve">pour les personnes handicapées </w:t>
      </w:r>
      <w:r w:rsidRPr="00A86354" w:rsidR="00C82DB5">
        <w:rPr>
          <w:rFonts w:cs="Arial"/>
          <w:lang w:val="fr-FR"/>
        </w:rPr>
        <w:t>dans les</w:t>
      </w:r>
      <w:r w:rsidRPr="00A86354">
        <w:rPr>
          <w:rFonts w:cs="Arial"/>
          <w:lang w:val="fr-FR"/>
        </w:rPr>
        <w:t xml:space="preserve"> ESMS</w:t>
      </w:r>
      <w:r w:rsidRPr="00A86354" w:rsidR="00C82DB5">
        <w:rPr>
          <w:rFonts w:cs="Arial"/>
          <w:lang w:val="fr-FR"/>
        </w:rPr>
        <w:t xml:space="preserve"> en 2021</w:t>
      </w:r>
      <w:r w:rsidRPr="00A86354" w:rsidR="00486C88">
        <w:rPr>
          <w:rFonts w:cs="Arial"/>
          <w:lang w:val="fr-FR"/>
        </w:rPr>
        <w:t xml:space="preserve">, </w:t>
      </w:r>
      <w:r w:rsidRPr="00A86354">
        <w:rPr>
          <w:rFonts w:cs="Arial"/>
          <w:lang w:val="fr-FR"/>
        </w:rPr>
        <w:t>dont</w:t>
      </w:r>
      <w:r w:rsidRPr="00A86354" w:rsidR="00486C88">
        <w:rPr>
          <w:rFonts w:cs="Arial"/>
          <w:lang w:val="fr-FR"/>
        </w:rPr>
        <w:t xml:space="preserve"> 164</w:t>
      </w:r>
      <w:r w:rsidRPr="00A86354">
        <w:rPr>
          <w:rFonts w:cs="Arial"/>
          <w:lang w:val="fr-FR"/>
        </w:rPr>
        <w:t> </w:t>
      </w:r>
      <w:r w:rsidRPr="00A86354" w:rsidR="00486C88">
        <w:rPr>
          <w:rFonts w:cs="Arial"/>
          <w:lang w:val="fr-FR"/>
        </w:rPr>
        <w:t xml:space="preserve">519 places </w:t>
      </w:r>
      <w:r w:rsidRPr="00A86354">
        <w:rPr>
          <w:rFonts w:cs="Arial"/>
          <w:lang w:val="fr-FR"/>
        </w:rPr>
        <w:t>pour les enfants et</w:t>
      </w:r>
      <w:r w:rsidRPr="00A86354" w:rsidR="00486C88">
        <w:rPr>
          <w:rFonts w:cs="Arial"/>
          <w:lang w:val="fr-FR"/>
        </w:rPr>
        <w:t xml:space="preserve"> 340</w:t>
      </w:r>
      <w:r w:rsidRPr="00A86354">
        <w:rPr>
          <w:rFonts w:cs="Arial"/>
          <w:lang w:val="fr-FR"/>
        </w:rPr>
        <w:t> </w:t>
      </w:r>
      <w:r w:rsidRPr="00A86354" w:rsidR="00486C88">
        <w:rPr>
          <w:rFonts w:cs="Arial"/>
          <w:lang w:val="fr-FR"/>
        </w:rPr>
        <w:t xml:space="preserve">754 places </w:t>
      </w:r>
      <w:r w:rsidRPr="00A86354">
        <w:rPr>
          <w:rFonts w:cs="Arial"/>
          <w:lang w:val="fr-FR"/>
        </w:rPr>
        <w:t>pour les adultes</w:t>
      </w:r>
      <w:r w:rsidRPr="00A86354" w:rsidR="00486C88">
        <w:rPr>
          <w:rFonts w:cs="Arial"/>
          <w:lang w:val="fr-FR"/>
        </w:rPr>
        <w:t>.</w:t>
      </w:r>
    </w:p>
    <w:p w:rsidRPr="00A86354" w:rsidR="00DA64BF" w:rsidP="00462E82" w:rsidRDefault="00DA64BF" w14:paraId="0DBFE0A4" w14:textId="1519A2DC">
      <w:pPr>
        <w:rPr>
          <w:rFonts w:ascii="Arial" w:hAnsi="Arial" w:cs="Arial"/>
          <w:lang w:val="fr-FR"/>
        </w:rPr>
      </w:pPr>
    </w:p>
    <w:p w:rsidRPr="00A86354" w:rsidR="008519A8" w:rsidP="00CE016A" w:rsidRDefault="008519A8" w14:paraId="693D6F75" w14:textId="215A89A3">
      <w:pPr>
        <w:pStyle w:val="ListParagraph"/>
        <w:numPr>
          <w:ilvl w:val="0"/>
          <w:numId w:val="1"/>
        </w:numPr>
        <w:ind w:left="0" w:firstLine="66"/>
        <w:rPr>
          <w:rFonts w:cs="Arial"/>
          <w:lang w:val="fr-FR"/>
        </w:rPr>
      </w:pPr>
      <w:r w:rsidRPr="00A86354">
        <w:rPr>
          <w:rFonts w:cs="Arial"/>
          <w:lang w:val="fr-FR"/>
        </w:rPr>
        <w:t xml:space="preserve">L'article 22 de la loi n° 89-18 du 13 janvier 1989 (dite </w:t>
      </w:r>
      <w:r w:rsidRPr="00A86354" w:rsidR="000E6CE1">
        <w:rPr>
          <w:rFonts w:cs="Arial"/>
          <w:lang w:val="fr-FR"/>
        </w:rPr>
        <w:t>« </w:t>
      </w:r>
      <w:r w:rsidRPr="00A86354">
        <w:rPr>
          <w:rFonts w:cs="Arial"/>
          <w:lang w:val="fr-FR"/>
        </w:rPr>
        <w:t>amendement Creton</w:t>
      </w:r>
      <w:r w:rsidRPr="00A86354" w:rsidR="000E6CE1">
        <w:rPr>
          <w:rFonts w:cs="Arial"/>
          <w:lang w:val="fr-FR"/>
        </w:rPr>
        <w:t> »</w:t>
      </w:r>
      <w:r w:rsidRPr="00A86354">
        <w:rPr>
          <w:rFonts w:cs="Arial"/>
          <w:lang w:val="fr-FR"/>
        </w:rPr>
        <w:t xml:space="preserve">) permet aux jeunes handicapés de plus de 20 ans de rester dans les établissements médico-sociaux pour enfants handicapés qui les accueillent, dans l'attente d'un logement adapté. Selon les chiffres de la DREES, en 2016, 6,000 jeunes adultes handicapés ont été accueillis dans des établissements pour enfants handicapés. L'article </w:t>
      </w:r>
      <w:r w:rsidRPr="00A86354" w:rsidR="000E6CE1">
        <w:rPr>
          <w:rFonts w:cs="Arial"/>
          <w:lang w:val="fr-FR"/>
        </w:rPr>
        <w:t xml:space="preserve">annexe </w:t>
      </w:r>
      <w:r w:rsidRPr="00A86354">
        <w:rPr>
          <w:rFonts w:cs="Arial"/>
          <w:lang w:val="fr-FR"/>
        </w:rPr>
        <w:t xml:space="preserve">2.3. (Le développement d'actions en faveur des personnes particulièrement vulnérables) de la loi n° 97-1164 du 19 décembre 1997 de financement de la sécurité sociale pour 1998, indique que l’amendement Creton a créé de graves difficultés de gestion (nombre croissant de bénéficiaires et leur séjour prolongé dans les établissements pour enfants) et met en place un plan d'action à partir de 1998, comprenant des moyens nouveaux qui seront dégagés pour développer la création de nouvelles places d'accueil pour les jeunes adultes.   </w:t>
      </w:r>
    </w:p>
    <w:p w:rsidRPr="00A86354" w:rsidR="00DA64BF" w:rsidP="008519A8" w:rsidRDefault="00DA64BF" w14:paraId="597CB5A0" w14:textId="74E9D868">
      <w:pPr>
        <w:pStyle w:val="ListParagraph"/>
        <w:rPr>
          <w:rFonts w:cs="Arial"/>
          <w:lang w:val="fr-FR"/>
        </w:rPr>
      </w:pPr>
    </w:p>
    <w:p w:rsidRPr="00A86354" w:rsidR="0064770A" w:rsidP="006542B0" w:rsidRDefault="006542B0" w14:paraId="5132F56C" w14:textId="608FBA15">
      <w:pPr>
        <w:rPr>
          <w:rFonts w:ascii="Arial" w:hAnsi="Arial" w:cs="Arial"/>
          <w:b/>
          <w:bCs/>
          <w:lang w:val="fr-FR"/>
        </w:rPr>
      </w:pPr>
      <w:r w:rsidRPr="00A86354">
        <w:rPr>
          <w:rFonts w:ascii="Arial" w:hAnsi="Arial" w:cs="Arial"/>
          <w:b/>
          <w:bCs/>
          <w:lang w:val="fr-FR"/>
        </w:rPr>
        <w:t>Droit des personnes handicapées à l</w:t>
      </w:r>
      <w:r w:rsidRPr="00A86354" w:rsidR="0006032C">
        <w:rPr>
          <w:rFonts w:ascii="Arial" w:hAnsi="Arial" w:cs="Arial"/>
          <w:b/>
          <w:bCs/>
          <w:lang w:val="fr-FR"/>
        </w:rPr>
        <w:t>’</w:t>
      </w:r>
      <w:r w:rsidRPr="00A86354">
        <w:rPr>
          <w:rFonts w:ascii="Arial" w:hAnsi="Arial" w:cs="Arial"/>
          <w:b/>
          <w:bCs/>
          <w:lang w:val="fr-FR"/>
        </w:rPr>
        <w:t>orientation, à l</w:t>
      </w:r>
      <w:r w:rsidRPr="00A86354" w:rsidR="0006032C">
        <w:rPr>
          <w:rFonts w:ascii="Arial" w:hAnsi="Arial" w:cs="Arial"/>
          <w:b/>
          <w:bCs/>
          <w:lang w:val="fr-FR"/>
        </w:rPr>
        <w:t>’</w:t>
      </w:r>
      <w:r w:rsidRPr="00A86354">
        <w:rPr>
          <w:rFonts w:ascii="Arial" w:hAnsi="Arial" w:cs="Arial"/>
          <w:b/>
          <w:bCs/>
          <w:lang w:val="fr-FR"/>
        </w:rPr>
        <w:t>éducation et la formation professionnelles</w:t>
      </w:r>
    </w:p>
    <w:p w:rsidRPr="00A86354" w:rsidR="0064770A" w:rsidP="00486C88" w:rsidRDefault="0064770A" w14:paraId="7C046F68" w14:textId="77777777">
      <w:pPr>
        <w:rPr>
          <w:rFonts w:ascii="Arial" w:hAnsi="Arial" w:cs="Arial"/>
          <w:lang w:val="fr-FR"/>
        </w:rPr>
      </w:pPr>
    </w:p>
    <w:p w:rsidRPr="00A86354" w:rsidR="00EB2954" w:rsidP="00CE016A" w:rsidRDefault="00624C66" w14:paraId="66E026C4" w14:textId="295EEC83">
      <w:pPr>
        <w:pStyle w:val="ListParagraph"/>
        <w:numPr>
          <w:ilvl w:val="0"/>
          <w:numId w:val="1"/>
        </w:numPr>
        <w:ind w:left="0" w:firstLine="0"/>
        <w:rPr>
          <w:rFonts w:cs="Arial"/>
          <w:lang w:val="fr-FR"/>
        </w:rPr>
      </w:pPr>
      <w:r w:rsidRPr="00A86354">
        <w:rPr>
          <w:rFonts w:cs="Arial"/>
          <w:lang w:val="fr-FR"/>
        </w:rPr>
        <w:t>Selon l’a</w:t>
      </w:r>
      <w:r w:rsidRPr="00A86354" w:rsidR="00EB2954">
        <w:rPr>
          <w:rFonts w:cs="Arial"/>
          <w:lang w:val="fr-FR"/>
        </w:rPr>
        <w:t>rticle L111-1 du code de l</w:t>
      </w:r>
      <w:r w:rsidRPr="00A86354" w:rsidR="0006032C">
        <w:rPr>
          <w:rFonts w:cs="Arial"/>
          <w:lang w:val="fr-FR"/>
        </w:rPr>
        <w:t>’</w:t>
      </w:r>
      <w:r w:rsidRPr="00A86354" w:rsidR="00EB2954">
        <w:rPr>
          <w:rFonts w:cs="Arial"/>
          <w:lang w:val="fr-FR"/>
        </w:rPr>
        <w:t>éducation tel que modifié par la loi n° 2005-102 du 11 février 2005 et par la loi n° 2021-1109 du 24 août 2021</w:t>
      </w:r>
      <w:r w:rsidRPr="00A86354" w:rsidR="000807D5">
        <w:rPr>
          <w:rFonts w:cs="Arial"/>
          <w:lang w:val="fr-FR"/>
        </w:rPr>
        <w:t> :</w:t>
      </w:r>
    </w:p>
    <w:p w:rsidRPr="00A86354" w:rsidR="00EB2954" w:rsidP="00EB2954" w:rsidRDefault="00EB2954" w14:paraId="403C19C6" w14:textId="77777777">
      <w:pPr>
        <w:rPr>
          <w:rFonts w:ascii="Arial" w:hAnsi="Arial" w:cs="Arial"/>
          <w:lang w:val="fr-FR"/>
        </w:rPr>
      </w:pPr>
      <w:r w:rsidRPr="00A86354">
        <w:rPr>
          <w:rFonts w:ascii="Arial" w:hAnsi="Arial" w:cs="Arial"/>
          <w:lang w:val="fr-FR"/>
        </w:rPr>
        <w:t xml:space="preserve"> </w:t>
      </w:r>
    </w:p>
    <w:p w:rsidRPr="00A86354" w:rsidR="00EB2954" w:rsidP="00A86354" w:rsidRDefault="000807D5" w14:paraId="5CB5A256" w14:textId="4DDA6200">
      <w:pPr>
        <w:ind w:left="709"/>
        <w:rPr>
          <w:rFonts w:ascii="Arial" w:hAnsi="Arial" w:cs="Arial"/>
          <w:sz w:val="20"/>
          <w:szCs w:val="20"/>
          <w:lang w:val="fr-FR"/>
        </w:rPr>
      </w:pPr>
      <w:r w:rsidRPr="00A86354">
        <w:rPr>
          <w:rFonts w:ascii="Arial" w:hAnsi="Arial" w:cs="Arial"/>
          <w:sz w:val="20"/>
          <w:szCs w:val="20"/>
          <w:lang w:val="fr-FR"/>
        </w:rPr>
        <w:t>« </w:t>
      </w:r>
      <w:r w:rsidRPr="00A86354" w:rsidR="00EB2954">
        <w:rPr>
          <w:rFonts w:ascii="Arial" w:hAnsi="Arial" w:cs="Arial"/>
          <w:sz w:val="20"/>
          <w:szCs w:val="20"/>
          <w:lang w:val="fr-FR"/>
        </w:rPr>
        <w:t>L</w:t>
      </w:r>
      <w:r w:rsidRPr="00A86354" w:rsidR="0006032C">
        <w:rPr>
          <w:rFonts w:ascii="Arial" w:hAnsi="Arial" w:cs="Arial"/>
          <w:sz w:val="20"/>
          <w:szCs w:val="20"/>
          <w:lang w:val="fr-FR"/>
        </w:rPr>
        <w:t>’</w:t>
      </w:r>
      <w:r w:rsidRPr="00A86354" w:rsidR="00EB2954">
        <w:rPr>
          <w:rFonts w:ascii="Arial" w:hAnsi="Arial" w:cs="Arial"/>
          <w:sz w:val="20"/>
          <w:szCs w:val="20"/>
          <w:lang w:val="fr-FR"/>
        </w:rPr>
        <w:t xml:space="preserve">éducation est la </w:t>
      </w:r>
      <w:proofErr w:type="gramStart"/>
      <w:r w:rsidRPr="00A86354" w:rsidR="00EB2954">
        <w:rPr>
          <w:rFonts w:ascii="Arial" w:hAnsi="Arial" w:cs="Arial"/>
          <w:sz w:val="20"/>
          <w:szCs w:val="20"/>
          <w:lang w:val="fr-FR"/>
        </w:rPr>
        <w:t>première priorité</w:t>
      </w:r>
      <w:proofErr w:type="gramEnd"/>
      <w:r w:rsidRPr="00A86354" w:rsidR="00EB2954">
        <w:rPr>
          <w:rFonts w:ascii="Arial" w:hAnsi="Arial" w:cs="Arial"/>
          <w:sz w:val="20"/>
          <w:szCs w:val="20"/>
          <w:lang w:val="fr-FR"/>
        </w:rPr>
        <w:t xml:space="preserve"> nationale. Le service public de l</w:t>
      </w:r>
      <w:r w:rsidRPr="00A86354" w:rsidR="0006032C">
        <w:rPr>
          <w:rFonts w:ascii="Arial" w:hAnsi="Arial" w:cs="Arial"/>
          <w:sz w:val="20"/>
          <w:szCs w:val="20"/>
          <w:lang w:val="fr-FR"/>
        </w:rPr>
        <w:t>’</w:t>
      </w:r>
      <w:r w:rsidRPr="00A86354" w:rsidR="00EB2954">
        <w:rPr>
          <w:rFonts w:ascii="Arial" w:hAnsi="Arial" w:cs="Arial"/>
          <w:sz w:val="20"/>
          <w:szCs w:val="20"/>
          <w:lang w:val="fr-FR"/>
        </w:rPr>
        <w:t>éducation est conçu et organisé en fonction des élèves et des étudiants. Il contribue à l</w:t>
      </w:r>
      <w:r w:rsidRPr="00A86354" w:rsidR="0006032C">
        <w:rPr>
          <w:rFonts w:ascii="Arial" w:hAnsi="Arial" w:cs="Arial"/>
          <w:sz w:val="20"/>
          <w:szCs w:val="20"/>
          <w:lang w:val="fr-FR"/>
        </w:rPr>
        <w:t>’</w:t>
      </w:r>
      <w:r w:rsidRPr="00A86354" w:rsidR="00EB2954">
        <w:rPr>
          <w:rFonts w:ascii="Arial" w:hAnsi="Arial" w:cs="Arial"/>
          <w:sz w:val="20"/>
          <w:szCs w:val="20"/>
          <w:lang w:val="fr-FR"/>
        </w:rPr>
        <w:t xml:space="preserve">égalité des chances et à lutter </w:t>
      </w:r>
      <w:r w:rsidRPr="00A86354" w:rsidR="00EB2954">
        <w:rPr>
          <w:rFonts w:ascii="Arial" w:hAnsi="Arial" w:cs="Arial"/>
          <w:sz w:val="20"/>
          <w:szCs w:val="20"/>
          <w:lang w:val="fr-FR"/>
        </w:rPr>
        <w:lastRenderedPageBreak/>
        <w:t>contre les inégalités sociales et territoriales en matière de réussite scolaire et éducative. Il reconnaît que tous les enfants partagent la capacité d</w:t>
      </w:r>
      <w:r w:rsidRPr="00A86354" w:rsidR="0006032C">
        <w:rPr>
          <w:rFonts w:ascii="Arial" w:hAnsi="Arial" w:cs="Arial"/>
          <w:sz w:val="20"/>
          <w:szCs w:val="20"/>
          <w:lang w:val="fr-FR"/>
        </w:rPr>
        <w:t>’</w:t>
      </w:r>
      <w:r w:rsidRPr="00A86354" w:rsidR="00EB2954">
        <w:rPr>
          <w:rFonts w:ascii="Arial" w:hAnsi="Arial" w:cs="Arial"/>
          <w:sz w:val="20"/>
          <w:szCs w:val="20"/>
          <w:lang w:val="fr-FR"/>
        </w:rPr>
        <w:t xml:space="preserve">apprendre et de progresser. Il veille à la scolarisation inclusive de tous les enfants, sans aucune distinction. </w:t>
      </w:r>
      <w:r w:rsidRPr="00A86354" w:rsidR="002C5D46">
        <w:rPr>
          <w:rFonts w:ascii="Arial" w:hAnsi="Arial" w:cs="Arial"/>
          <w:sz w:val="20"/>
          <w:szCs w:val="20"/>
          <w:lang w:val="fr-FR"/>
        </w:rPr>
        <w:t>[...]</w:t>
      </w:r>
    </w:p>
    <w:p w:rsidRPr="00A86354" w:rsidR="00EB2954" w:rsidP="00A86354" w:rsidRDefault="00EB2954" w14:paraId="3F219C2D" w14:textId="77777777">
      <w:pPr>
        <w:ind w:left="709"/>
        <w:rPr>
          <w:rFonts w:ascii="Arial" w:hAnsi="Arial" w:cs="Arial"/>
          <w:lang w:val="fr-FR"/>
        </w:rPr>
      </w:pPr>
    </w:p>
    <w:p w:rsidRPr="00A86354" w:rsidR="00EB2954" w:rsidP="00A86354" w:rsidRDefault="00EB2954" w14:paraId="07714983" w14:textId="3460F06E">
      <w:pPr>
        <w:ind w:left="709"/>
        <w:rPr>
          <w:rFonts w:ascii="Arial" w:hAnsi="Arial" w:cs="Arial"/>
          <w:sz w:val="20"/>
          <w:szCs w:val="20"/>
          <w:lang w:val="fr-FR"/>
        </w:rPr>
      </w:pPr>
      <w:r w:rsidRPr="00A86354">
        <w:rPr>
          <w:rFonts w:ascii="Arial" w:hAnsi="Arial" w:cs="Arial"/>
          <w:sz w:val="20"/>
          <w:szCs w:val="20"/>
          <w:lang w:val="fr-FR"/>
        </w:rPr>
        <w:t>Le droit à l</w:t>
      </w:r>
      <w:r w:rsidRPr="00A86354" w:rsidR="0006032C">
        <w:rPr>
          <w:rFonts w:ascii="Arial" w:hAnsi="Arial" w:cs="Arial"/>
          <w:sz w:val="20"/>
          <w:szCs w:val="20"/>
          <w:lang w:val="fr-FR"/>
        </w:rPr>
        <w:t>’</w:t>
      </w:r>
      <w:r w:rsidRPr="00A86354">
        <w:rPr>
          <w:rFonts w:ascii="Arial" w:hAnsi="Arial" w:cs="Arial"/>
          <w:sz w:val="20"/>
          <w:szCs w:val="20"/>
          <w:lang w:val="fr-FR"/>
        </w:rPr>
        <w:t>éducation est garanti à chacun afin de lui permettre de développer sa personnalité, d</w:t>
      </w:r>
      <w:r w:rsidRPr="00A86354" w:rsidR="0006032C">
        <w:rPr>
          <w:rFonts w:ascii="Arial" w:hAnsi="Arial" w:cs="Arial"/>
          <w:sz w:val="20"/>
          <w:szCs w:val="20"/>
          <w:lang w:val="fr-FR"/>
        </w:rPr>
        <w:t>’</w:t>
      </w:r>
      <w:r w:rsidRPr="00A86354">
        <w:rPr>
          <w:rFonts w:ascii="Arial" w:hAnsi="Arial" w:cs="Arial"/>
          <w:sz w:val="20"/>
          <w:szCs w:val="20"/>
          <w:lang w:val="fr-FR"/>
        </w:rPr>
        <w:t>élever son niveau de formation initiale et continue, de s</w:t>
      </w:r>
      <w:r w:rsidRPr="00A86354" w:rsidR="0006032C">
        <w:rPr>
          <w:rFonts w:ascii="Arial" w:hAnsi="Arial" w:cs="Arial"/>
          <w:sz w:val="20"/>
          <w:szCs w:val="20"/>
          <w:lang w:val="fr-FR"/>
        </w:rPr>
        <w:t>’</w:t>
      </w:r>
      <w:r w:rsidRPr="00A86354">
        <w:rPr>
          <w:rFonts w:ascii="Arial" w:hAnsi="Arial" w:cs="Arial"/>
          <w:sz w:val="20"/>
          <w:szCs w:val="20"/>
          <w:lang w:val="fr-FR"/>
        </w:rPr>
        <w:t>insérer dans la vie sociale et professionnelle, d</w:t>
      </w:r>
      <w:r w:rsidRPr="00A86354" w:rsidR="0006032C">
        <w:rPr>
          <w:rFonts w:ascii="Arial" w:hAnsi="Arial" w:cs="Arial"/>
          <w:sz w:val="20"/>
          <w:szCs w:val="20"/>
          <w:lang w:val="fr-FR"/>
        </w:rPr>
        <w:t>’</w:t>
      </w:r>
      <w:r w:rsidRPr="00A86354">
        <w:rPr>
          <w:rFonts w:ascii="Arial" w:hAnsi="Arial" w:cs="Arial"/>
          <w:sz w:val="20"/>
          <w:szCs w:val="20"/>
          <w:lang w:val="fr-FR"/>
        </w:rPr>
        <w:t xml:space="preserve">exercer sa citoyenneté. </w:t>
      </w:r>
    </w:p>
    <w:p w:rsidRPr="00A86354" w:rsidR="00EB2954" w:rsidP="00A86354" w:rsidRDefault="00EB2954" w14:paraId="201DCDEE" w14:textId="77777777">
      <w:pPr>
        <w:ind w:left="709"/>
        <w:rPr>
          <w:rFonts w:ascii="Arial" w:hAnsi="Arial" w:cs="Arial"/>
          <w:sz w:val="20"/>
          <w:szCs w:val="20"/>
          <w:lang w:val="fr-FR"/>
        </w:rPr>
      </w:pPr>
    </w:p>
    <w:p w:rsidRPr="00A86354" w:rsidR="00EB2954" w:rsidP="00A86354" w:rsidRDefault="00EB2954" w14:paraId="3271E4CD" w14:textId="6F3B228E">
      <w:pPr>
        <w:ind w:left="709"/>
        <w:rPr>
          <w:rFonts w:ascii="Arial" w:hAnsi="Arial" w:cs="Arial"/>
          <w:sz w:val="20"/>
          <w:szCs w:val="20"/>
          <w:lang w:val="fr-FR"/>
        </w:rPr>
      </w:pPr>
      <w:r w:rsidRPr="00A86354">
        <w:rPr>
          <w:rFonts w:ascii="Arial" w:hAnsi="Arial" w:cs="Arial"/>
          <w:sz w:val="20"/>
          <w:szCs w:val="20"/>
          <w:lang w:val="fr-FR"/>
        </w:rPr>
        <w:t>Pour garantir ce droit dans le respect de l</w:t>
      </w:r>
      <w:r w:rsidRPr="00A86354" w:rsidR="0006032C">
        <w:rPr>
          <w:rFonts w:ascii="Arial" w:hAnsi="Arial" w:cs="Arial"/>
          <w:sz w:val="20"/>
          <w:szCs w:val="20"/>
          <w:lang w:val="fr-FR"/>
        </w:rPr>
        <w:t>’</w:t>
      </w:r>
      <w:r w:rsidRPr="00A86354">
        <w:rPr>
          <w:rFonts w:ascii="Arial" w:hAnsi="Arial" w:cs="Arial"/>
          <w:sz w:val="20"/>
          <w:szCs w:val="20"/>
          <w:lang w:val="fr-FR"/>
        </w:rPr>
        <w:t>égalité des chances, des aides sont attribuées aux élèves et aux étudiants selon leurs ressources et leurs mérites. La répartition des moyens du service public de l</w:t>
      </w:r>
      <w:r w:rsidRPr="00A86354" w:rsidR="0006032C">
        <w:rPr>
          <w:rFonts w:ascii="Arial" w:hAnsi="Arial" w:cs="Arial"/>
          <w:sz w:val="20"/>
          <w:szCs w:val="20"/>
          <w:lang w:val="fr-FR"/>
        </w:rPr>
        <w:t>’</w:t>
      </w:r>
      <w:r w:rsidRPr="00A86354">
        <w:rPr>
          <w:rFonts w:ascii="Arial" w:hAnsi="Arial" w:cs="Arial"/>
          <w:sz w:val="20"/>
          <w:szCs w:val="20"/>
          <w:lang w:val="fr-FR"/>
        </w:rPr>
        <w:t>éducation tient compte des différences de situation, notamment en matière économique, territoriale et sociale.</w:t>
      </w:r>
    </w:p>
    <w:p w:rsidRPr="00A86354" w:rsidR="00EB2954" w:rsidP="00A86354" w:rsidRDefault="00EB2954" w14:paraId="56634EEF" w14:textId="77777777">
      <w:pPr>
        <w:ind w:left="709"/>
        <w:rPr>
          <w:rFonts w:ascii="Arial" w:hAnsi="Arial" w:cs="Arial"/>
          <w:sz w:val="20"/>
          <w:szCs w:val="20"/>
          <w:lang w:val="fr-FR"/>
        </w:rPr>
      </w:pPr>
    </w:p>
    <w:p w:rsidRPr="00A86354" w:rsidR="00EB2954" w:rsidP="00A86354" w:rsidRDefault="00EB2954" w14:paraId="3AD80516" w14:textId="5331AA7F">
      <w:pPr>
        <w:ind w:left="709"/>
        <w:rPr>
          <w:rFonts w:ascii="Arial" w:hAnsi="Arial" w:cs="Arial"/>
          <w:sz w:val="20"/>
          <w:szCs w:val="20"/>
          <w:lang w:val="fr-FR"/>
        </w:rPr>
      </w:pPr>
      <w:r w:rsidRPr="00A86354">
        <w:rPr>
          <w:rFonts w:ascii="Arial" w:hAnsi="Arial" w:cs="Arial"/>
          <w:sz w:val="20"/>
          <w:szCs w:val="20"/>
          <w:lang w:val="fr-FR"/>
        </w:rPr>
        <w:t>Elle a pour but de renforcer l</w:t>
      </w:r>
      <w:r w:rsidRPr="00A86354" w:rsidR="0006032C">
        <w:rPr>
          <w:rFonts w:ascii="Arial" w:hAnsi="Arial" w:cs="Arial"/>
          <w:sz w:val="20"/>
          <w:szCs w:val="20"/>
          <w:lang w:val="fr-FR"/>
        </w:rPr>
        <w:t>’</w:t>
      </w:r>
      <w:r w:rsidRPr="00A86354">
        <w:rPr>
          <w:rFonts w:ascii="Arial" w:hAnsi="Arial" w:cs="Arial"/>
          <w:sz w:val="20"/>
          <w:szCs w:val="20"/>
          <w:lang w:val="fr-FR"/>
        </w:rPr>
        <w:t>encadrement des élèves dans les écoles et établissements d</w:t>
      </w:r>
      <w:r w:rsidRPr="00A86354" w:rsidR="0006032C">
        <w:rPr>
          <w:rFonts w:ascii="Arial" w:hAnsi="Arial" w:cs="Arial"/>
          <w:sz w:val="20"/>
          <w:szCs w:val="20"/>
          <w:lang w:val="fr-FR"/>
        </w:rPr>
        <w:t>’</w:t>
      </w:r>
      <w:r w:rsidRPr="00A86354">
        <w:rPr>
          <w:rFonts w:ascii="Arial" w:hAnsi="Arial" w:cs="Arial"/>
          <w:sz w:val="20"/>
          <w:szCs w:val="20"/>
          <w:lang w:val="fr-FR"/>
        </w:rPr>
        <w:t xml:space="preserve">enseignement </w:t>
      </w:r>
      <w:r w:rsidRPr="00A86354" w:rsidR="002C5D46">
        <w:rPr>
          <w:rFonts w:ascii="Arial" w:hAnsi="Arial" w:cs="Arial"/>
          <w:sz w:val="20"/>
          <w:szCs w:val="20"/>
          <w:lang w:val="fr-FR"/>
        </w:rPr>
        <w:t>[...]</w:t>
      </w:r>
      <w:r w:rsidRPr="00A86354">
        <w:rPr>
          <w:rFonts w:ascii="Arial" w:hAnsi="Arial" w:cs="Arial"/>
          <w:sz w:val="20"/>
          <w:szCs w:val="20"/>
          <w:lang w:val="fr-FR"/>
        </w:rPr>
        <w:t xml:space="preserve"> et de permettre de façon générale aux élèves en difficulté, quelle qu</w:t>
      </w:r>
      <w:r w:rsidRPr="00A86354" w:rsidR="0006032C">
        <w:rPr>
          <w:rFonts w:ascii="Arial" w:hAnsi="Arial" w:cs="Arial"/>
          <w:sz w:val="20"/>
          <w:szCs w:val="20"/>
          <w:lang w:val="fr-FR"/>
        </w:rPr>
        <w:t>’</w:t>
      </w:r>
      <w:r w:rsidRPr="00A86354">
        <w:rPr>
          <w:rFonts w:ascii="Arial" w:hAnsi="Arial" w:cs="Arial"/>
          <w:sz w:val="20"/>
          <w:szCs w:val="20"/>
          <w:lang w:val="fr-FR"/>
        </w:rPr>
        <w:t>en soit l</w:t>
      </w:r>
      <w:r w:rsidRPr="00A86354" w:rsidR="0006032C">
        <w:rPr>
          <w:rFonts w:ascii="Arial" w:hAnsi="Arial" w:cs="Arial"/>
          <w:sz w:val="20"/>
          <w:szCs w:val="20"/>
          <w:lang w:val="fr-FR"/>
        </w:rPr>
        <w:t>’</w:t>
      </w:r>
      <w:r w:rsidRPr="00A86354">
        <w:rPr>
          <w:rFonts w:ascii="Arial" w:hAnsi="Arial" w:cs="Arial"/>
          <w:sz w:val="20"/>
          <w:szCs w:val="20"/>
          <w:lang w:val="fr-FR"/>
        </w:rPr>
        <w:t>origine, en particulier de santé, de bénéficier d</w:t>
      </w:r>
      <w:r w:rsidRPr="00A86354" w:rsidR="0006032C">
        <w:rPr>
          <w:rFonts w:ascii="Arial" w:hAnsi="Arial" w:cs="Arial"/>
          <w:sz w:val="20"/>
          <w:szCs w:val="20"/>
          <w:lang w:val="fr-FR"/>
        </w:rPr>
        <w:t>’</w:t>
      </w:r>
      <w:r w:rsidRPr="00A86354">
        <w:rPr>
          <w:rFonts w:ascii="Arial" w:hAnsi="Arial" w:cs="Arial"/>
          <w:sz w:val="20"/>
          <w:szCs w:val="20"/>
          <w:lang w:val="fr-FR"/>
        </w:rPr>
        <w:t>actions de soutien individualisé.</w:t>
      </w:r>
      <w:r w:rsidRPr="00A86354" w:rsidR="000807D5">
        <w:rPr>
          <w:rFonts w:ascii="Arial" w:hAnsi="Arial" w:cs="Arial"/>
          <w:sz w:val="20"/>
          <w:szCs w:val="20"/>
          <w:lang w:val="fr-FR"/>
        </w:rPr>
        <w:t> »</w:t>
      </w:r>
      <w:r w:rsidRPr="00A86354">
        <w:rPr>
          <w:rFonts w:ascii="Arial" w:hAnsi="Arial" w:cs="Arial"/>
          <w:sz w:val="20"/>
          <w:szCs w:val="20"/>
          <w:lang w:val="fr-FR"/>
        </w:rPr>
        <w:t xml:space="preserve">   </w:t>
      </w:r>
    </w:p>
    <w:p w:rsidRPr="00A86354" w:rsidR="00EB2954" w:rsidP="00EB2954" w:rsidRDefault="00EB2954" w14:paraId="0C47E3CE" w14:textId="77777777">
      <w:pPr>
        <w:rPr>
          <w:rFonts w:ascii="Arial" w:hAnsi="Arial" w:cs="Arial"/>
          <w:sz w:val="20"/>
          <w:szCs w:val="20"/>
          <w:lang w:val="fr-FR"/>
        </w:rPr>
      </w:pPr>
    </w:p>
    <w:p w:rsidRPr="00A86354" w:rsidR="00EB2954" w:rsidP="00CE016A" w:rsidRDefault="00624C66" w14:paraId="3CFAFBE6" w14:textId="680135E5">
      <w:pPr>
        <w:pStyle w:val="ListParagraph"/>
        <w:numPr>
          <w:ilvl w:val="0"/>
          <w:numId w:val="1"/>
        </w:numPr>
        <w:ind w:left="0" w:firstLine="0"/>
        <w:rPr>
          <w:rFonts w:cs="Arial"/>
          <w:sz w:val="20"/>
          <w:szCs w:val="20"/>
          <w:lang w:val="fr-FR"/>
        </w:rPr>
      </w:pPr>
      <w:r w:rsidRPr="00A86354">
        <w:rPr>
          <w:rFonts w:cs="Arial"/>
          <w:lang w:val="fr-FR"/>
        </w:rPr>
        <w:t>L’a</w:t>
      </w:r>
      <w:r w:rsidRPr="00A86354" w:rsidR="00EB2954">
        <w:rPr>
          <w:rFonts w:cs="Arial"/>
          <w:lang w:val="fr-FR"/>
        </w:rPr>
        <w:t xml:space="preserve">rticle L112-1 de ce code, tel que modifié par la loi n° 2019-791 du 26 juillet </w:t>
      </w:r>
      <w:proofErr w:type="gramStart"/>
      <w:r w:rsidRPr="00A86354" w:rsidR="00EB2954">
        <w:rPr>
          <w:rFonts w:cs="Arial"/>
          <w:lang w:val="fr-FR"/>
        </w:rPr>
        <w:t>2019</w:t>
      </w:r>
      <w:r w:rsidRPr="00A86354" w:rsidR="000807D5">
        <w:rPr>
          <w:rFonts w:cs="Arial"/>
          <w:lang w:val="fr-FR"/>
        </w:rPr>
        <w:t> </w:t>
      </w:r>
      <w:r w:rsidRPr="00A86354">
        <w:rPr>
          <w:rFonts w:cs="Arial"/>
          <w:lang w:val="fr-FR"/>
        </w:rPr>
        <w:t xml:space="preserve"> prévoit</w:t>
      </w:r>
      <w:proofErr w:type="gramEnd"/>
      <w:r w:rsidRPr="00A86354">
        <w:rPr>
          <w:rFonts w:cs="Arial"/>
          <w:lang w:val="fr-FR"/>
        </w:rPr>
        <w:t> :</w:t>
      </w:r>
    </w:p>
    <w:p w:rsidRPr="00A86354" w:rsidR="00EB2954" w:rsidP="00EB2954" w:rsidRDefault="00EB2954" w14:paraId="039E8AE3" w14:textId="77777777">
      <w:pPr>
        <w:rPr>
          <w:rFonts w:ascii="Arial" w:hAnsi="Arial" w:cs="Arial"/>
          <w:lang w:val="fr-FR"/>
        </w:rPr>
      </w:pPr>
    </w:p>
    <w:p w:rsidRPr="00A86354" w:rsidR="00EB2954" w:rsidP="00A86354" w:rsidRDefault="000807D5" w14:paraId="7442E241" w14:textId="598D6A22">
      <w:pPr>
        <w:ind w:left="709"/>
        <w:rPr>
          <w:rFonts w:ascii="Arial" w:hAnsi="Arial" w:cs="Arial"/>
          <w:sz w:val="20"/>
          <w:szCs w:val="20"/>
          <w:lang w:val="fr-FR"/>
        </w:rPr>
      </w:pPr>
      <w:r w:rsidRPr="00A86354">
        <w:rPr>
          <w:rFonts w:ascii="Arial" w:hAnsi="Arial" w:cs="Arial"/>
          <w:sz w:val="20"/>
          <w:szCs w:val="20"/>
          <w:lang w:val="fr-FR"/>
        </w:rPr>
        <w:t>« </w:t>
      </w:r>
      <w:r w:rsidRPr="00A86354" w:rsidR="00EB2954">
        <w:rPr>
          <w:rFonts w:ascii="Arial" w:hAnsi="Arial" w:cs="Arial"/>
          <w:sz w:val="20"/>
          <w:szCs w:val="20"/>
          <w:lang w:val="fr-FR"/>
        </w:rPr>
        <w:t>Pour satisfaire aux obligations qui lui incombent en application des articles L. 111-1 et L. 111-2, le service public de l</w:t>
      </w:r>
      <w:r w:rsidRPr="00A86354" w:rsidR="0006032C">
        <w:rPr>
          <w:rFonts w:ascii="Arial" w:hAnsi="Arial" w:cs="Arial"/>
          <w:sz w:val="20"/>
          <w:szCs w:val="20"/>
          <w:lang w:val="fr-FR"/>
        </w:rPr>
        <w:t>’</w:t>
      </w:r>
      <w:r w:rsidRPr="00A86354" w:rsidR="00EB2954">
        <w:rPr>
          <w:rFonts w:ascii="Arial" w:hAnsi="Arial" w:cs="Arial"/>
          <w:sz w:val="20"/>
          <w:szCs w:val="20"/>
          <w:lang w:val="fr-FR"/>
        </w:rPr>
        <w:t>éducation assure une formation scolaire, professionnelle ou supérieure aux enfants, aux adolescents et aux adultes présentant un handicap ou un trouble de la santé invalidant. Dans ses domaines de compétence, l</w:t>
      </w:r>
      <w:r w:rsidRPr="00A86354" w:rsidR="0006032C">
        <w:rPr>
          <w:rFonts w:ascii="Arial" w:hAnsi="Arial" w:cs="Arial"/>
          <w:sz w:val="20"/>
          <w:szCs w:val="20"/>
          <w:lang w:val="fr-FR"/>
        </w:rPr>
        <w:t>’</w:t>
      </w:r>
      <w:r w:rsidRPr="00A86354" w:rsidR="00EB2954">
        <w:rPr>
          <w:rFonts w:ascii="Arial" w:hAnsi="Arial" w:cs="Arial"/>
          <w:sz w:val="20"/>
          <w:szCs w:val="20"/>
          <w:lang w:val="fr-FR"/>
        </w:rPr>
        <w:t xml:space="preserve">Etat met en place les moyens financiers et humains nécessaires à la scolarisation en milieu ordinaire des enfants, adolescents ou adultes en situation de handicap.    </w:t>
      </w:r>
    </w:p>
    <w:p w:rsidRPr="00A86354" w:rsidR="00EB2954" w:rsidP="00A86354" w:rsidRDefault="00EB2954" w14:paraId="44EED5DE" w14:textId="77777777">
      <w:pPr>
        <w:ind w:left="709"/>
        <w:rPr>
          <w:rFonts w:ascii="Arial" w:hAnsi="Arial" w:cs="Arial"/>
          <w:lang w:val="fr-FR"/>
        </w:rPr>
      </w:pPr>
    </w:p>
    <w:p w:rsidRPr="00A86354" w:rsidR="00EB2954" w:rsidP="00A86354" w:rsidRDefault="00EB2954" w14:paraId="198F820A" w14:textId="04C732D2">
      <w:pPr>
        <w:ind w:left="709"/>
        <w:rPr>
          <w:rFonts w:ascii="Arial" w:hAnsi="Arial" w:cs="Arial"/>
          <w:sz w:val="20"/>
          <w:szCs w:val="20"/>
          <w:lang w:val="fr-FR"/>
        </w:rPr>
      </w:pPr>
      <w:r w:rsidRPr="00A86354">
        <w:rPr>
          <w:rFonts w:ascii="Arial" w:hAnsi="Arial" w:cs="Arial"/>
          <w:sz w:val="20"/>
          <w:szCs w:val="20"/>
          <w:lang w:val="fr-FR"/>
        </w:rPr>
        <w:t>Tout enfant, tout adolescent présentant un handicap ou un trouble invalidant de la santé est inscrit dans l</w:t>
      </w:r>
      <w:r w:rsidRPr="00A86354" w:rsidR="0006032C">
        <w:rPr>
          <w:rFonts w:ascii="Arial" w:hAnsi="Arial" w:cs="Arial"/>
          <w:sz w:val="20"/>
          <w:szCs w:val="20"/>
          <w:lang w:val="fr-FR"/>
        </w:rPr>
        <w:t>’</w:t>
      </w:r>
      <w:r w:rsidRPr="00A86354">
        <w:rPr>
          <w:rFonts w:ascii="Arial" w:hAnsi="Arial" w:cs="Arial"/>
          <w:sz w:val="20"/>
          <w:szCs w:val="20"/>
          <w:lang w:val="fr-FR"/>
        </w:rPr>
        <w:t xml:space="preserve">école </w:t>
      </w:r>
      <w:r w:rsidRPr="00A86354" w:rsidR="002C5D46">
        <w:rPr>
          <w:rFonts w:ascii="Arial" w:hAnsi="Arial" w:cs="Arial"/>
          <w:sz w:val="20"/>
          <w:szCs w:val="20"/>
          <w:lang w:val="fr-FR"/>
        </w:rPr>
        <w:t>[...]</w:t>
      </w:r>
      <w:r w:rsidRPr="00A86354">
        <w:rPr>
          <w:rFonts w:ascii="Arial" w:hAnsi="Arial" w:cs="Arial"/>
          <w:sz w:val="20"/>
          <w:szCs w:val="20"/>
          <w:lang w:val="fr-FR"/>
        </w:rPr>
        <w:t xml:space="preserve">, le plus proche de son domicile, qui constitue son établissement de référence. </w:t>
      </w:r>
    </w:p>
    <w:p w:rsidRPr="00A86354" w:rsidR="00EB2954" w:rsidP="00A86354" w:rsidRDefault="00EB2954" w14:paraId="317C6BB0" w14:textId="77777777">
      <w:pPr>
        <w:ind w:left="709"/>
        <w:rPr>
          <w:rFonts w:ascii="Arial" w:hAnsi="Arial" w:cs="Arial"/>
          <w:lang w:val="fr-FR"/>
        </w:rPr>
      </w:pPr>
    </w:p>
    <w:p w:rsidRPr="00A86354" w:rsidR="00EB2954" w:rsidP="00A86354" w:rsidRDefault="00EB2954" w14:paraId="0D3BFF4E" w14:textId="298E735B">
      <w:pPr>
        <w:ind w:left="709"/>
        <w:rPr>
          <w:rFonts w:ascii="Arial" w:hAnsi="Arial" w:cs="Arial"/>
          <w:sz w:val="20"/>
          <w:szCs w:val="20"/>
          <w:lang w:val="fr-FR"/>
        </w:rPr>
      </w:pPr>
      <w:r w:rsidRPr="00A86354">
        <w:rPr>
          <w:rFonts w:ascii="Arial" w:hAnsi="Arial" w:cs="Arial"/>
          <w:sz w:val="20"/>
          <w:szCs w:val="20"/>
          <w:lang w:val="fr-FR"/>
        </w:rPr>
        <w:t>Dans le cadre de son projet personnalisé, si ses besoins nécessitent qu</w:t>
      </w:r>
      <w:r w:rsidRPr="00A86354" w:rsidR="0006032C">
        <w:rPr>
          <w:rFonts w:ascii="Arial" w:hAnsi="Arial" w:cs="Arial"/>
          <w:sz w:val="20"/>
          <w:szCs w:val="20"/>
          <w:lang w:val="fr-FR"/>
        </w:rPr>
        <w:t>’</w:t>
      </w:r>
      <w:r w:rsidRPr="00A86354">
        <w:rPr>
          <w:rFonts w:ascii="Arial" w:hAnsi="Arial" w:cs="Arial"/>
          <w:sz w:val="20"/>
          <w:szCs w:val="20"/>
          <w:lang w:val="fr-FR"/>
        </w:rPr>
        <w:t>il reçoive sa formation au sein de dispositifs adaptés, il peut être inscrit dans une autre école ou un autre établissement mentionné à l</w:t>
      </w:r>
      <w:r w:rsidRPr="00A86354" w:rsidR="0006032C">
        <w:rPr>
          <w:rFonts w:ascii="Arial" w:hAnsi="Arial" w:cs="Arial"/>
          <w:sz w:val="20"/>
          <w:szCs w:val="20"/>
          <w:lang w:val="fr-FR"/>
        </w:rPr>
        <w:t>’</w:t>
      </w:r>
      <w:r w:rsidRPr="00A86354">
        <w:rPr>
          <w:rFonts w:ascii="Arial" w:hAnsi="Arial" w:cs="Arial"/>
          <w:sz w:val="20"/>
          <w:szCs w:val="20"/>
          <w:lang w:val="fr-FR"/>
        </w:rPr>
        <w:t>article L. 351-1 [collèges publics, collèges privés, lycées et lycées professionnels, établissements publics ou privés d</w:t>
      </w:r>
      <w:r w:rsidRPr="00A86354" w:rsidR="0006032C">
        <w:rPr>
          <w:rFonts w:ascii="Arial" w:hAnsi="Arial" w:cs="Arial"/>
          <w:sz w:val="20"/>
          <w:szCs w:val="20"/>
          <w:lang w:val="fr-FR"/>
        </w:rPr>
        <w:t>’</w:t>
      </w:r>
      <w:r w:rsidRPr="00A86354">
        <w:rPr>
          <w:rFonts w:ascii="Arial" w:hAnsi="Arial" w:cs="Arial"/>
          <w:sz w:val="20"/>
          <w:szCs w:val="20"/>
          <w:lang w:val="fr-FR"/>
        </w:rPr>
        <w:t>enseignement agricole] par l</w:t>
      </w:r>
      <w:r w:rsidRPr="00A86354" w:rsidR="0006032C">
        <w:rPr>
          <w:rFonts w:ascii="Arial" w:hAnsi="Arial" w:cs="Arial"/>
          <w:sz w:val="20"/>
          <w:szCs w:val="20"/>
          <w:lang w:val="fr-FR"/>
        </w:rPr>
        <w:t>’</w:t>
      </w:r>
      <w:r w:rsidRPr="00A86354">
        <w:rPr>
          <w:rFonts w:ascii="Arial" w:hAnsi="Arial" w:cs="Arial"/>
          <w:sz w:val="20"/>
          <w:szCs w:val="20"/>
          <w:lang w:val="fr-FR"/>
        </w:rPr>
        <w:t>autorité administrative compétente, sur proposition de son établissement de référence et avec l</w:t>
      </w:r>
      <w:r w:rsidRPr="00A86354" w:rsidR="0006032C">
        <w:rPr>
          <w:rFonts w:ascii="Arial" w:hAnsi="Arial" w:cs="Arial"/>
          <w:sz w:val="20"/>
          <w:szCs w:val="20"/>
          <w:lang w:val="fr-FR"/>
        </w:rPr>
        <w:t>’</w:t>
      </w:r>
      <w:r w:rsidRPr="00A86354">
        <w:rPr>
          <w:rFonts w:ascii="Arial" w:hAnsi="Arial" w:cs="Arial"/>
          <w:sz w:val="20"/>
          <w:szCs w:val="20"/>
          <w:lang w:val="fr-FR"/>
        </w:rPr>
        <w:t xml:space="preserve">accord de ses parents ou de son représentant légal </w:t>
      </w:r>
      <w:r w:rsidRPr="00A86354" w:rsidR="002C5D46">
        <w:rPr>
          <w:rFonts w:ascii="Arial" w:hAnsi="Arial" w:cs="Arial"/>
          <w:sz w:val="20"/>
          <w:szCs w:val="20"/>
          <w:lang w:val="fr-FR"/>
        </w:rPr>
        <w:t>[...]</w:t>
      </w:r>
      <w:r w:rsidRPr="00A86354">
        <w:rPr>
          <w:rFonts w:ascii="Arial" w:hAnsi="Arial" w:cs="Arial"/>
          <w:sz w:val="20"/>
          <w:szCs w:val="20"/>
          <w:lang w:val="fr-FR"/>
        </w:rPr>
        <w:t xml:space="preserve">  </w:t>
      </w:r>
    </w:p>
    <w:p w:rsidRPr="00A86354" w:rsidR="00EB2954" w:rsidP="00A86354" w:rsidRDefault="00EB2954" w14:paraId="51BE07EF" w14:textId="77777777">
      <w:pPr>
        <w:ind w:left="709"/>
        <w:rPr>
          <w:rFonts w:ascii="Arial" w:hAnsi="Arial" w:cs="Arial"/>
          <w:lang w:val="fr-FR"/>
        </w:rPr>
      </w:pPr>
    </w:p>
    <w:p w:rsidRPr="00A86354" w:rsidR="00EB2954" w:rsidP="00A86354" w:rsidRDefault="00EB2954" w14:paraId="0243494C" w14:textId="78DEF847">
      <w:pPr>
        <w:ind w:left="709"/>
        <w:rPr>
          <w:rFonts w:ascii="Arial" w:hAnsi="Arial" w:cs="Arial"/>
          <w:sz w:val="20"/>
          <w:szCs w:val="20"/>
          <w:lang w:val="fr-FR"/>
        </w:rPr>
      </w:pPr>
      <w:r w:rsidRPr="00A86354">
        <w:rPr>
          <w:rFonts w:ascii="Arial" w:hAnsi="Arial" w:cs="Arial"/>
          <w:sz w:val="20"/>
          <w:szCs w:val="20"/>
          <w:lang w:val="fr-FR"/>
        </w:rPr>
        <w:t>De même, les enfants et les adolescents accueillis dans l</w:t>
      </w:r>
      <w:r w:rsidRPr="00A86354" w:rsidR="0006032C">
        <w:rPr>
          <w:rFonts w:ascii="Arial" w:hAnsi="Arial" w:cs="Arial"/>
          <w:sz w:val="20"/>
          <w:szCs w:val="20"/>
          <w:lang w:val="fr-FR"/>
        </w:rPr>
        <w:t>’</w:t>
      </w:r>
      <w:r w:rsidRPr="00A86354">
        <w:rPr>
          <w:rFonts w:ascii="Arial" w:hAnsi="Arial" w:cs="Arial"/>
          <w:sz w:val="20"/>
          <w:szCs w:val="20"/>
          <w:lang w:val="fr-FR"/>
        </w:rPr>
        <w:t>un des établissements ou services mentionnés au 2° du I de l</w:t>
      </w:r>
      <w:r w:rsidRPr="00A86354" w:rsidR="0006032C">
        <w:rPr>
          <w:rFonts w:ascii="Arial" w:hAnsi="Arial" w:cs="Arial"/>
          <w:sz w:val="20"/>
          <w:szCs w:val="20"/>
          <w:lang w:val="fr-FR"/>
        </w:rPr>
        <w:t>’</w:t>
      </w:r>
      <w:r w:rsidRPr="00A86354">
        <w:rPr>
          <w:rFonts w:ascii="Arial" w:hAnsi="Arial" w:cs="Arial"/>
          <w:sz w:val="20"/>
          <w:szCs w:val="20"/>
          <w:lang w:val="fr-FR"/>
        </w:rPr>
        <w:t>article L. 312-1 du code de l</w:t>
      </w:r>
      <w:r w:rsidRPr="00A86354" w:rsidR="0006032C">
        <w:rPr>
          <w:rFonts w:ascii="Arial" w:hAnsi="Arial" w:cs="Arial"/>
          <w:sz w:val="20"/>
          <w:szCs w:val="20"/>
          <w:lang w:val="fr-FR"/>
        </w:rPr>
        <w:t>’</w:t>
      </w:r>
      <w:r w:rsidRPr="00A86354">
        <w:rPr>
          <w:rFonts w:ascii="Arial" w:hAnsi="Arial" w:cs="Arial"/>
          <w:sz w:val="20"/>
          <w:szCs w:val="20"/>
          <w:lang w:val="fr-FR"/>
        </w:rPr>
        <w:t>action sociale et des familles [les établissements ou services d</w:t>
      </w:r>
      <w:r w:rsidRPr="00A86354" w:rsidR="0006032C">
        <w:rPr>
          <w:rFonts w:ascii="Arial" w:hAnsi="Arial" w:cs="Arial"/>
          <w:sz w:val="20"/>
          <w:szCs w:val="20"/>
          <w:lang w:val="fr-FR"/>
        </w:rPr>
        <w:t>’</w:t>
      </w:r>
      <w:r w:rsidRPr="00A86354">
        <w:rPr>
          <w:rFonts w:ascii="Arial" w:hAnsi="Arial" w:cs="Arial"/>
          <w:sz w:val="20"/>
          <w:szCs w:val="20"/>
          <w:lang w:val="fr-FR"/>
        </w:rPr>
        <w:t xml:space="preserve">enseignement qui assurent, à titre principal, une éducation adaptée et un accompagnement social ou médico-social aux mineurs ou jeunes adultes handicapés] </w:t>
      </w:r>
      <w:r w:rsidRPr="00A86354" w:rsidR="002C5D46">
        <w:rPr>
          <w:rFonts w:ascii="Arial" w:hAnsi="Arial" w:cs="Arial"/>
          <w:sz w:val="20"/>
          <w:szCs w:val="20"/>
          <w:lang w:val="fr-FR"/>
        </w:rPr>
        <w:t>[...]</w:t>
      </w:r>
      <w:r w:rsidRPr="00A86354">
        <w:rPr>
          <w:rFonts w:ascii="Arial" w:hAnsi="Arial" w:cs="Arial"/>
          <w:sz w:val="20"/>
          <w:szCs w:val="20"/>
          <w:lang w:val="fr-FR"/>
        </w:rPr>
        <w:t> peuvent être inscrits dans une école ou dans l</w:t>
      </w:r>
      <w:r w:rsidRPr="00A86354" w:rsidR="0006032C">
        <w:rPr>
          <w:rFonts w:ascii="Arial" w:hAnsi="Arial" w:cs="Arial"/>
          <w:sz w:val="20"/>
          <w:szCs w:val="20"/>
          <w:lang w:val="fr-FR"/>
        </w:rPr>
        <w:t>’</w:t>
      </w:r>
      <w:r w:rsidRPr="00A86354">
        <w:rPr>
          <w:rFonts w:ascii="Arial" w:hAnsi="Arial" w:cs="Arial"/>
          <w:sz w:val="20"/>
          <w:szCs w:val="20"/>
          <w:lang w:val="fr-FR"/>
        </w:rPr>
        <w:t>un des établissements mentionnés à l</w:t>
      </w:r>
      <w:r w:rsidRPr="00A86354" w:rsidR="0006032C">
        <w:rPr>
          <w:rFonts w:ascii="Arial" w:hAnsi="Arial" w:cs="Arial"/>
          <w:sz w:val="20"/>
          <w:szCs w:val="20"/>
          <w:lang w:val="fr-FR"/>
        </w:rPr>
        <w:t>’</w:t>
      </w:r>
      <w:r w:rsidRPr="00A86354">
        <w:rPr>
          <w:rFonts w:ascii="Arial" w:hAnsi="Arial" w:cs="Arial"/>
          <w:sz w:val="20"/>
          <w:szCs w:val="20"/>
          <w:lang w:val="fr-FR"/>
        </w:rPr>
        <w:t>article L. 351-1 du présent code autre que leur établissement de référence, proche de l</w:t>
      </w:r>
      <w:r w:rsidRPr="00A86354" w:rsidR="0006032C">
        <w:rPr>
          <w:rFonts w:ascii="Arial" w:hAnsi="Arial" w:cs="Arial"/>
          <w:sz w:val="20"/>
          <w:szCs w:val="20"/>
          <w:lang w:val="fr-FR"/>
        </w:rPr>
        <w:t>’</w:t>
      </w:r>
      <w:r w:rsidRPr="00A86354">
        <w:rPr>
          <w:rFonts w:ascii="Arial" w:hAnsi="Arial" w:cs="Arial"/>
          <w:sz w:val="20"/>
          <w:szCs w:val="20"/>
          <w:lang w:val="fr-FR"/>
        </w:rPr>
        <w:t>établissement où ils sont accueillis. Les conditions permettant cette inscription et cette fréquentation sont fixées par convention entre les autorités académiques et l</w:t>
      </w:r>
      <w:r w:rsidRPr="00A86354" w:rsidR="0006032C">
        <w:rPr>
          <w:rFonts w:ascii="Arial" w:hAnsi="Arial" w:cs="Arial"/>
          <w:sz w:val="20"/>
          <w:szCs w:val="20"/>
          <w:lang w:val="fr-FR"/>
        </w:rPr>
        <w:t>’</w:t>
      </w:r>
      <w:r w:rsidRPr="00A86354">
        <w:rPr>
          <w:rFonts w:ascii="Arial" w:hAnsi="Arial" w:cs="Arial"/>
          <w:sz w:val="20"/>
          <w:szCs w:val="20"/>
          <w:lang w:val="fr-FR"/>
        </w:rPr>
        <w:t xml:space="preserve">établissement de santé ou médico-social. </w:t>
      </w:r>
    </w:p>
    <w:p w:rsidRPr="00A86354" w:rsidR="00EB2954" w:rsidP="00A86354" w:rsidRDefault="00EB2954" w14:paraId="6A5FAA8B" w14:textId="77777777">
      <w:pPr>
        <w:ind w:left="709"/>
        <w:rPr>
          <w:rFonts w:ascii="Arial" w:hAnsi="Arial" w:cs="Arial"/>
          <w:lang w:val="fr-FR"/>
        </w:rPr>
      </w:pPr>
    </w:p>
    <w:p w:rsidRPr="00A86354" w:rsidR="00EB2954" w:rsidP="00A86354" w:rsidRDefault="00EB2954" w14:paraId="731E90B4" w14:textId="00F5F975">
      <w:pPr>
        <w:ind w:left="709"/>
        <w:rPr>
          <w:rFonts w:ascii="Arial" w:hAnsi="Arial" w:cs="Arial"/>
          <w:sz w:val="20"/>
          <w:szCs w:val="20"/>
          <w:lang w:val="fr-FR"/>
        </w:rPr>
      </w:pPr>
      <w:r w:rsidRPr="00A86354">
        <w:rPr>
          <w:rFonts w:ascii="Arial" w:hAnsi="Arial" w:cs="Arial"/>
          <w:sz w:val="20"/>
          <w:szCs w:val="20"/>
          <w:lang w:val="fr-FR"/>
        </w:rPr>
        <w:t>Lorsqu</w:t>
      </w:r>
      <w:r w:rsidRPr="00A86354" w:rsidR="0006032C">
        <w:rPr>
          <w:rFonts w:ascii="Arial" w:hAnsi="Arial" w:cs="Arial"/>
          <w:sz w:val="20"/>
          <w:szCs w:val="20"/>
          <w:lang w:val="fr-FR"/>
        </w:rPr>
        <w:t>’</w:t>
      </w:r>
      <w:r w:rsidRPr="00A86354">
        <w:rPr>
          <w:rFonts w:ascii="Arial" w:hAnsi="Arial" w:cs="Arial"/>
          <w:sz w:val="20"/>
          <w:szCs w:val="20"/>
          <w:lang w:val="fr-FR"/>
        </w:rPr>
        <w:t>une scolarisation en milieu ordinaire a été décidée par la commission mentionnée à l</w:t>
      </w:r>
      <w:r w:rsidRPr="00A86354" w:rsidR="0006032C">
        <w:rPr>
          <w:rFonts w:ascii="Arial" w:hAnsi="Arial" w:cs="Arial"/>
          <w:sz w:val="20"/>
          <w:szCs w:val="20"/>
          <w:lang w:val="fr-FR"/>
        </w:rPr>
        <w:t>’</w:t>
      </w:r>
      <w:r w:rsidRPr="00A86354">
        <w:rPr>
          <w:rFonts w:ascii="Arial" w:hAnsi="Arial" w:cs="Arial"/>
          <w:sz w:val="20"/>
          <w:szCs w:val="20"/>
          <w:lang w:val="fr-FR"/>
        </w:rPr>
        <w:t>article L. 146-9 du code de l</w:t>
      </w:r>
      <w:r w:rsidRPr="00A86354" w:rsidR="0006032C">
        <w:rPr>
          <w:rFonts w:ascii="Arial" w:hAnsi="Arial" w:cs="Arial"/>
          <w:sz w:val="20"/>
          <w:szCs w:val="20"/>
          <w:lang w:val="fr-FR"/>
        </w:rPr>
        <w:t>’</w:t>
      </w:r>
      <w:r w:rsidRPr="00A86354">
        <w:rPr>
          <w:rFonts w:ascii="Arial" w:hAnsi="Arial" w:cs="Arial"/>
          <w:sz w:val="20"/>
          <w:szCs w:val="20"/>
          <w:lang w:val="fr-FR"/>
        </w:rPr>
        <w:t>action sociale et des familles [la commission des droits et de l</w:t>
      </w:r>
      <w:r w:rsidRPr="00A86354" w:rsidR="0006032C">
        <w:rPr>
          <w:rFonts w:ascii="Arial" w:hAnsi="Arial" w:cs="Arial"/>
          <w:sz w:val="20"/>
          <w:szCs w:val="20"/>
          <w:lang w:val="fr-FR"/>
        </w:rPr>
        <w:t>’</w:t>
      </w:r>
      <w:r w:rsidRPr="00A86354">
        <w:rPr>
          <w:rFonts w:ascii="Arial" w:hAnsi="Arial" w:cs="Arial"/>
          <w:sz w:val="20"/>
          <w:szCs w:val="20"/>
          <w:lang w:val="fr-FR"/>
        </w:rPr>
        <w:t>autonomie des personnes handicapées] mais que les conditions d</w:t>
      </w:r>
      <w:r w:rsidRPr="00A86354" w:rsidR="0006032C">
        <w:rPr>
          <w:rFonts w:ascii="Arial" w:hAnsi="Arial" w:cs="Arial"/>
          <w:sz w:val="20"/>
          <w:szCs w:val="20"/>
          <w:lang w:val="fr-FR"/>
        </w:rPr>
        <w:t>’</w:t>
      </w:r>
      <w:r w:rsidRPr="00A86354">
        <w:rPr>
          <w:rFonts w:ascii="Arial" w:hAnsi="Arial" w:cs="Arial"/>
          <w:sz w:val="20"/>
          <w:szCs w:val="20"/>
          <w:lang w:val="fr-FR"/>
        </w:rPr>
        <w:t>accès à l</w:t>
      </w:r>
      <w:r w:rsidRPr="00A86354" w:rsidR="0006032C">
        <w:rPr>
          <w:rFonts w:ascii="Arial" w:hAnsi="Arial" w:cs="Arial"/>
          <w:sz w:val="20"/>
          <w:szCs w:val="20"/>
          <w:lang w:val="fr-FR"/>
        </w:rPr>
        <w:t>’</w:t>
      </w:r>
      <w:r w:rsidRPr="00A86354">
        <w:rPr>
          <w:rFonts w:ascii="Arial" w:hAnsi="Arial" w:cs="Arial"/>
          <w:sz w:val="20"/>
          <w:szCs w:val="20"/>
          <w:lang w:val="fr-FR"/>
        </w:rPr>
        <w:t>établissement de référence la rendent impossible, les surcoûts imputables au transport de l</w:t>
      </w:r>
      <w:r w:rsidRPr="00A86354" w:rsidR="0006032C">
        <w:rPr>
          <w:rFonts w:ascii="Arial" w:hAnsi="Arial" w:cs="Arial"/>
          <w:sz w:val="20"/>
          <w:szCs w:val="20"/>
          <w:lang w:val="fr-FR"/>
        </w:rPr>
        <w:t>’</w:t>
      </w:r>
      <w:r w:rsidRPr="00A86354">
        <w:rPr>
          <w:rFonts w:ascii="Arial" w:hAnsi="Arial" w:cs="Arial"/>
          <w:sz w:val="20"/>
          <w:szCs w:val="20"/>
          <w:lang w:val="fr-FR"/>
        </w:rPr>
        <w:t>enfant ou de l</w:t>
      </w:r>
      <w:r w:rsidRPr="00A86354" w:rsidR="0006032C">
        <w:rPr>
          <w:rFonts w:ascii="Arial" w:hAnsi="Arial" w:cs="Arial"/>
          <w:sz w:val="20"/>
          <w:szCs w:val="20"/>
          <w:lang w:val="fr-FR"/>
        </w:rPr>
        <w:t>’</w:t>
      </w:r>
      <w:r w:rsidRPr="00A86354">
        <w:rPr>
          <w:rFonts w:ascii="Arial" w:hAnsi="Arial" w:cs="Arial"/>
          <w:sz w:val="20"/>
          <w:szCs w:val="20"/>
          <w:lang w:val="fr-FR"/>
        </w:rPr>
        <w:t xml:space="preserve">adolescent en situation de handicap vers un établissement plus éloigné sont à la charge de la collectivité territoriale compétente pour la mise en accessibilité des locaux. </w:t>
      </w:r>
      <w:r w:rsidRPr="00A86354" w:rsidR="002C5D46">
        <w:rPr>
          <w:rFonts w:ascii="Arial" w:hAnsi="Arial" w:cs="Arial"/>
          <w:sz w:val="20"/>
          <w:szCs w:val="20"/>
          <w:lang w:val="fr-FR"/>
        </w:rPr>
        <w:t>[...]</w:t>
      </w:r>
      <w:r w:rsidRPr="00A86354" w:rsidR="000807D5">
        <w:rPr>
          <w:rFonts w:ascii="Arial" w:hAnsi="Arial" w:cs="Arial"/>
          <w:sz w:val="20"/>
          <w:szCs w:val="20"/>
          <w:lang w:val="fr-FR"/>
        </w:rPr>
        <w:t> »</w:t>
      </w:r>
    </w:p>
    <w:p w:rsidRPr="00A86354" w:rsidR="00EB2954" w:rsidP="00EB2954" w:rsidRDefault="00EB2954" w14:paraId="76A2440C" w14:textId="77777777">
      <w:pPr>
        <w:rPr>
          <w:rFonts w:ascii="Arial" w:hAnsi="Arial" w:cs="Arial"/>
          <w:sz w:val="20"/>
          <w:szCs w:val="20"/>
          <w:lang w:val="fr-FR"/>
        </w:rPr>
      </w:pPr>
    </w:p>
    <w:p w:rsidRPr="00A86354" w:rsidR="00EB2954" w:rsidP="00CE016A" w:rsidRDefault="00066225" w14:paraId="4A196789" w14:textId="6A3F8BDE">
      <w:pPr>
        <w:pStyle w:val="ListParagraph"/>
        <w:numPr>
          <w:ilvl w:val="0"/>
          <w:numId w:val="1"/>
        </w:numPr>
        <w:ind w:left="0" w:firstLine="0"/>
        <w:rPr>
          <w:rFonts w:cs="Arial"/>
          <w:sz w:val="20"/>
          <w:szCs w:val="20"/>
          <w:lang w:val="fr-FR"/>
        </w:rPr>
      </w:pPr>
      <w:r w:rsidRPr="00A86354">
        <w:rPr>
          <w:rFonts w:cs="Arial"/>
          <w:lang w:val="fr-FR"/>
        </w:rPr>
        <w:t>A</w:t>
      </w:r>
      <w:r w:rsidRPr="00A86354" w:rsidR="00EB2954">
        <w:rPr>
          <w:rFonts w:cs="Arial"/>
          <w:lang w:val="fr-FR"/>
        </w:rPr>
        <w:t>rticle L112-2 du code de l</w:t>
      </w:r>
      <w:r w:rsidRPr="00A86354" w:rsidR="0006032C">
        <w:rPr>
          <w:rFonts w:cs="Arial"/>
          <w:lang w:val="fr-FR"/>
        </w:rPr>
        <w:t>’</w:t>
      </w:r>
      <w:r w:rsidRPr="00A86354" w:rsidR="00EB2954">
        <w:rPr>
          <w:rFonts w:cs="Arial"/>
          <w:lang w:val="fr-FR"/>
        </w:rPr>
        <w:t>éducation tel que modifié par la loi n° 2019-791 du 26 juillet 2019</w:t>
      </w:r>
      <w:r w:rsidRPr="00A86354" w:rsidR="000807D5">
        <w:rPr>
          <w:rFonts w:cs="Arial"/>
          <w:lang w:val="fr-FR"/>
        </w:rPr>
        <w:t> :</w:t>
      </w:r>
      <w:r w:rsidRPr="00A86354" w:rsidR="00EB2954">
        <w:rPr>
          <w:rFonts w:cs="Arial"/>
          <w:lang w:val="fr-FR"/>
        </w:rPr>
        <w:t xml:space="preserve"> </w:t>
      </w:r>
    </w:p>
    <w:p w:rsidRPr="00A86354" w:rsidR="00EB2954" w:rsidP="00EB2954" w:rsidRDefault="00EB2954" w14:paraId="4BA5D141" w14:textId="77777777">
      <w:pPr>
        <w:rPr>
          <w:rFonts w:ascii="Arial" w:hAnsi="Arial" w:cs="Arial"/>
          <w:sz w:val="20"/>
          <w:szCs w:val="20"/>
          <w:lang w:val="fr-FR"/>
        </w:rPr>
      </w:pPr>
    </w:p>
    <w:p w:rsidRPr="00A86354" w:rsidR="00EB2954" w:rsidP="00A86354" w:rsidRDefault="000807D5" w14:paraId="33598654" w14:textId="6C69D872">
      <w:pPr>
        <w:ind w:left="709"/>
        <w:rPr>
          <w:rFonts w:ascii="Arial" w:hAnsi="Arial" w:cs="Arial"/>
          <w:sz w:val="20"/>
          <w:szCs w:val="20"/>
          <w:lang w:val="fr-FR"/>
        </w:rPr>
      </w:pPr>
      <w:r w:rsidRPr="00A86354">
        <w:rPr>
          <w:rFonts w:ascii="Arial" w:hAnsi="Arial" w:cs="Arial"/>
          <w:sz w:val="20"/>
          <w:szCs w:val="20"/>
          <w:lang w:val="fr-FR"/>
        </w:rPr>
        <w:lastRenderedPageBreak/>
        <w:t>« </w:t>
      </w:r>
      <w:r w:rsidRPr="00A86354" w:rsidR="00EB2954">
        <w:rPr>
          <w:rFonts w:ascii="Arial" w:hAnsi="Arial" w:cs="Arial"/>
          <w:sz w:val="20"/>
          <w:szCs w:val="20"/>
          <w:lang w:val="fr-FR"/>
        </w:rPr>
        <w:t>Afin que lui soit assuré un parcours de formation adapté, chaque enfant, adolescent ou adulte en situation de handicap a droit à une évaluation de ses compétences, de ses besoins et des mesures mises en œuvre dans le cadre de ce parcours, selon une périodicité adaptée à sa situation. Cette évaluation est réalisée par l</w:t>
      </w:r>
      <w:r w:rsidRPr="00A86354" w:rsidR="0006032C">
        <w:rPr>
          <w:rFonts w:ascii="Arial" w:hAnsi="Arial" w:cs="Arial"/>
          <w:sz w:val="20"/>
          <w:szCs w:val="20"/>
          <w:lang w:val="fr-FR"/>
        </w:rPr>
        <w:t>’</w:t>
      </w:r>
      <w:r w:rsidRPr="00A86354" w:rsidR="00EB2954">
        <w:rPr>
          <w:rFonts w:ascii="Arial" w:hAnsi="Arial" w:cs="Arial"/>
          <w:sz w:val="20"/>
          <w:szCs w:val="20"/>
          <w:lang w:val="fr-FR"/>
        </w:rPr>
        <w:t>équipe pluridisciplinaire mentionnée à l</w:t>
      </w:r>
      <w:r w:rsidRPr="00A86354" w:rsidR="0006032C">
        <w:rPr>
          <w:rFonts w:ascii="Arial" w:hAnsi="Arial" w:cs="Arial"/>
          <w:sz w:val="20"/>
          <w:szCs w:val="20"/>
          <w:lang w:val="fr-FR"/>
        </w:rPr>
        <w:t>’</w:t>
      </w:r>
      <w:r w:rsidRPr="00A86354" w:rsidR="00EB2954">
        <w:rPr>
          <w:rFonts w:ascii="Arial" w:hAnsi="Arial" w:cs="Arial"/>
          <w:sz w:val="20"/>
          <w:szCs w:val="20"/>
          <w:lang w:val="fr-FR"/>
        </w:rPr>
        <w:t>article L. 146-8 du code de l</w:t>
      </w:r>
      <w:r w:rsidRPr="00A86354" w:rsidR="0006032C">
        <w:rPr>
          <w:rFonts w:ascii="Arial" w:hAnsi="Arial" w:cs="Arial"/>
          <w:sz w:val="20"/>
          <w:szCs w:val="20"/>
          <w:lang w:val="fr-FR"/>
        </w:rPr>
        <w:t>’</w:t>
      </w:r>
      <w:r w:rsidRPr="00A86354" w:rsidR="00EB2954">
        <w:rPr>
          <w:rFonts w:ascii="Arial" w:hAnsi="Arial" w:cs="Arial"/>
          <w:sz w:val="20"/>
          <w:szCs w:val="20"/>
          <w:lang w:val="fr-FR"/>
        </w:rPr>
        <w:t>action sociale et des familles. Les parents ou le représentant légal de l</w:t>
      </w:r>
      <w:r w:rsidRPr="00A86354" w:rsidR="0006032C">
        <w:rPr>
          <w:rFonts w:ascii="Arial" w:hAnsi="Arial" w:cs="Arial"/>
          <w:sz w:val="20"/>
          <w:szCs w:val="20"/>
          <w:lang w:val="fr-FR"/>
        </w:rPr>
        <w:t>’</w:t>
      </w:r>
      <w:r w:rsidRPr="00A86354" w:rsidR="00EB2954">
        <w:rPr>
          <w:rFonts w:ascii="Arial" w:hAnsi="Arial" w:cs="Arial"/>
          <w:sz w:val="20"/>
          <w:szCs w:val="20"/>
          <w:lang w:val="fr-FR"/>
        </w:rPr>
        <w:t>enfant sont obligatoirement invités à s</w:t>
      </w:r>
      <w:r w:rsidRPr="00A86354" w:rsidR="0006032C">
        <w:rPr>
          <w:rFonts w:ascii="Arial" w:hAnsi="Arial" w:cs="Arial"/>
          <w:sz w:val="20"/>
          <w:szCs w:val="20"/>
          <w:lang w:val="fr-FR"/>
        </w:rPr>
        <w:t>’</w:t>
      </w:r>
      <w:r w:rsidRPr="00A86354" w:rsidR="00EB2954">
        <w:rPr>
          <w:rFonts w:ascii="Arial" w:hAnsi="Arial" w:cs="Arial"/>
          <w:sz w:val="20"/>
          <w:szCs w:val="20"/>
          <w:lang w:val="fr-FR"/>
        </w:rPr>
        <w:t>exprimer à cette occasion.</w:t>
      </w:r>
    </w:p>
    <w:p w:rsidRPr="00A86354" w:rsidR="00EB2954" w:rsidP="00A86354" w:rsidRDefault="00EB2954" w14:paraId="0C830495" w14:textId="77777777">
      <w:pPr>
        <w:ind w:left="709"/>
        <w:rPr>
          <w:rFonts w:ascii="Arial" w:hAnsi="Arial" w:cs="Arial"/>
          <w:sz w:val="20"/>
          <w:szCs w:val="20"/>
          <w:lang w:val="fr-FR"/>
        </w:rPr>
      </w:pPr>
    </w:p>
    <w:p w:rsidRPr="00A86354" w:rsidR="00EB2954" w:rsidP="00A86354" w:rsidRDefault="00EB2954" w14:paraId="19538739" w14:textId="1241863B">
      <w:pPr>
        <w:ind w:left="709"/>
        <w:rPr>
          <w:rFonts w:ascii="Arial" w:hAnsi="Arial" w:cs="Arial"/>
          <w:sz w:val="20"/>
          <w:szCs w:val="20"/>
          <w:lang w:val="fr-FR"/>
        </w:rPr>
      </w:pPr>
      <w:r w:rsidRPr="00A86354">
        <w:rPr>
          <w:rFonts w:ascii="Arial" w:hAnsi="Arial" w:cs="Arial"/>
          <w:sz w:val="20"/>
          <w:szCs w:val="20"/>
          <w:lang w:val="fr-FR"/>
        </w:rPr>
        <w:t>Afin que lui soit assuré un parcours de formation adapté, chaque enfant, adolescent ou adulte en situation de handicap a droit à une évaluation de ses compétences, de ses besoins et des mesures mises en œuvre dans le cadre de ce parcours, selon une périodicité adaptée à sa situation. Cette évaluation est réalisée par l</w:t>
      </w:r>
      <w:r w:rsidRPr="00A86354" w:rsidR="0006032C">
        <w:rPr>
          <w:rFonts w:ascii="Arial" w:hAnsi="Arial" w:cs="Arial"/>
          <w:sz w:val="20"/>
          <w:szCs w:val="20"/>
          <w:lang w:val="fr-FR"/>
        </w:rPr>
        <w:t>’</w:t>
      </w:r>
      <w:r w:rsidRPr="00A86354">
        <w:rPr>
          <w:rFonts w:ascii="Arial" w:hAnsi="Arial" w:cs="Arial"/>
          <w:sz w:val="20"/>
          <w:szCs w:val="20"/>
          <w:lang w:val="fr-FR"/>
        </w:rPr>
        <w:t>équipe pluridisciplinaire mentionnée à l</w:t>
      </w:r>
      <w:r w:rsidRPr="00A86354" w:rsidR="0006032C">
        <w:rPr>
          <w:rFonts w:ascii="Arial" w:hAnsi="Arial" w:cs="Arial"/>
          <w:sz w:val="20"/>
          <w:szCs w:val="20"/>
          <w:lang w:val="fr-FR"/>
        </w:rPr>
        <w:t>’</w:t>
      </w:r>
      <w:r w:rsidRPr="00A86354">
        <w:rPr>
          <w:rFonts w:ascii="Arial" w:hAnsi="Arial" w:cs="Arial"/>
          <w:sz w:val="20"/>
          <w:szCs w:val="20"/>
          <w:lang w:val="fr-FR"/>
        </w:rPr>
        <w:t>article L. 146-8 du code de l</w:t>
      </w:r>
      <w:r w:rsidRPr="00A86354" w:rsidR="0006032C">
        <w:rPr>
          <w:rFonts w:ascii="Arial" w:hAnsi="Arial" w:cs="Arial"/>
          <w:sz w:val="20"/>
          <w:szCs w:val="20"/>
          <w:lang w:val="fr-FR"/>
        </w:rPr>
        <w:t>’</w:t>
      </w:r>
      <w:r w:rsidRPr="00A86354">
        <w:rPr>
          <w:rFonts w:ascii="Arial" w:hAnsi="Arial" w:cs="Arial"/>
          <w:sz w:val="20"/>
          <w:szCs w:val="20"/>
          <w:lang w:val="fr-FR"/>
        </w:rPr>
        <w:t>action sociale et des familles. Les parents ou le représentant légal de l</w:t>
      </w:r>
      <w:r w:rsidRPr="00A86354" w:rsidR="0006032C">
        <w:rPr>
          <w:rFonts w:ascii="Arial" w:hAnsi="Arial" w:cs="Arial"/>
          <w:sz w:val="20"/>
          <w:szCs w:val="20"/>
          <w:lang w:val="fr-FR"/>
        </w:rPr>
        <w:t>’</w:t>
      </w:r>
      <w:r w:rsidRPr="00A86354">
        <w:rPr>
          <w:rFonts w:ascii="Arial" w:hAnsi="Arial" w:cs="Arial"/>
          <w:sz w:val="20"/>
          <w:szCs w:val="20"/>
          <w:lang w:val="fr-FR"/>
        </w:rPr>
        <w:t>enfant sont obligatoirement invités à s</w:t>
      </w:r>
      <w:r w:rsidRPr="00A86354" w:rsidR="0006032C">
        <w:rPr>
          <w:rFonts w:ascii="Arial" w:hAnsi="Arial" w:cs="Arial"/>
          <w:sz w:val="20"/>
          <w:szCs w:val="20"/>
          <w:lang w:val="fr-FR"/>
        </w:rPr>
        <w:t>’</w:t>
      </w:r>
      <w:r w:rsidRPr="00A86354">
        <w:rPr>
          <w:rFonts w:ascii="Arial" w:hAnsi="Arial" w:cs="Arial"/>
          <w:sz w:val="20"/>
          <w:szCs w:val="20"/>
          <w:lang w:val="fr-FR"/>
        </w:rPr>
        <w:t xml:space="preserve">exprimer à cette occasion. </w:t>
      </w:r>
      <w:r w:rsidRPr="00A86354" w:rsidR="002C5D46">
        <w:rPr>
          <w:rFonts w:ascii="Arial" w:hAnsi="Arial" w:cs="Arial"/>
          <w:sz w:val="20"/>
          <w:szCs w:val="20"/>
          <w:lang w:val="fr-FR"/>
        </w:rPr>
        <w:t>[...]</w:t>
      </w:r>
      <w:r w:rsidRPr="00A86354" w:rsidR="000807D5">
        <w:rPr>
          <w:rFonts w:ascii="Arial" w:hAnsi="Arial" w:cs="Arial"/>
          <w:sz w:val="20"/>
          <w:szCs w:val="20"/>
          <w:lang w:val="fr-FR"/>
        </w:rPr>
        <w:t> »</w:t>
      </w:r>
    </w:p>
    <w:p w:rsidRPr="00A86354" w:rsidR="00EB2954" w:rsidP="00A86354" w:rsidRDefault="00EB2954" w14:paraId="347746F0" w14:textId="77777777">
      <w:pPr>
        <w:ind w:left="709"/>
        <w:rPr>
          <w:rFonts w:ascii="Arial" w:hAnsi="Arial" w:cs="Arial"/>
          <w:sz w:val="20"/>
          <w:szCs w:val="20"/>
          <w:lang w:val="fr-FR"/>
        </w:rPr>
      </w:pPr>
    </w:p>
    <w:p w:rsidRPr="00A86354" w:rsidR="00EB2954" w:rsidP="00A86354" w:rsidRDefault="00EB2954" w14:paraId="5EE925A0" w14:textId="55D49161">
      <w:pPr>
        <w:keepNext/>
        <w:keepLines/>
        <w:ind w:left="709"/>
        <w:rPr>
          <w:rFonts w:ascii="Arial" w:hAnsi="Arial" w:cs="Arial"/>
          <w:sz w:val="20"/>
          <w:szCs w:val="20"/>
          <w:lang w:val="fr-FR"/>
        </w:rPr>
      </w:pPr>
      <w:r w:rsidRPr="00A86354">
        <w:rPr>
          <w:rFonts w:ascii="Arial" w:hAnsi="Arial" w:cs="Arial"/>
          <w:sz w:val="20"/>
          <w:szCs w:val="20"/>
          <w:lang w:val="fr-FR"/>
        </w:rPr>
        <w:t>Article L112-2-1</w:t>
      </w:r>
      <w:r w:rsidRPr="00A86354" w:rsidR="000807D5">
        <w:rPr>
          <w:rFonts w:ascii="Arial" w:hAnsi="Arial" w:cs="Arial"/>
          <w:sz w:val="20"/>
          <w:szCs w:val="20"/>
          <w:lang w:val="fr-FR"/>
        </w:rPr>
        <w:t> :</w:t>
      </w:r>
    </w:p>
    <w:p w:rsidRPr="00A86354" w:rsidR="00EB2954" w:rsidP="00A86354" w:rsidRDefault="00EB2954" w14:paraId="31554D0F" w14:textId="77777777">
      <w:pPr>
        <w:keepNext/>
        <w:keepLines/>
        <w:ind w:left="709"/>
        <w:rPr>
          <w:rFonts w:ascii="Arial" w:hAnsi="Arial" w:cs="Arial"/>
          <w:sz w:val="20"/>
          <w:szCs w:val="20"/>
          <w:lang w:val="fr-FR"/>
        </w:rPr>
      </w:pPr>
    </w:p>
    <w:p w:rsidRPr="00A86354" w:rsidR="00EB2954" w:rsidP="00A86354" w:rsidRDefault="000807D5" w14:paraId="3079FB70" w14:textId="564078E6">
      <w:pPr>
        <w:keepNext/>
        <w:keepLines/>
        <w:ind w:left="709"/>
        <w:rPr>
          <w:rFonts w:ascii="Arial" w:hAnsi="Arial" w:cs="Arial"/>
          <w:sz w:val="20"/>
          <w:szCs w:val="20"/>
          <w:lang w:val="fr-FR"/>
        </w:rPr>
      </w:pPr>
      <w:r w:rsidRPr="00A86354">
        <w:rPr>
          <w:rFonts w:ascii="Arial" w:hAnsi="Arial" w:cs="Arial"/>
          <w:sz w:val="20"/>
          <w:szCs w:val="20"/>
          <w:lang w:val="fr-FR"/>
        </w:rPr>
        <w:t>« </w:t>
      </w:r>
      <w:r w:rsidRPr="00A86354" w:rsidR="00EB2954">
        <w:rPr>
          <w:rFonts w:ascii="Arial" w:hAnsi="Arial" w:cs="Arial"/>
          <w:sz w:val="20"/>
          <w:szCs w:val="20"/>
          <w:lang w:val="fr-FR"/>
        </w:rPr>
        <w:t>Des équipes de suivi de la scolarisation sont créées dans chaque département. Elles assurent le suivi des décisions de la commission des droits et de l</w:t>
      </w:r>
      <w:r w:rsidRPr="00A86354" w:rsidR="0006032C">
        <w:rPr>
          <w:rFonts w:ascii="Arial" w:hAnsi="Arial" w:cs="Arial"/>
          <w:sz w:val="20"/>
          <w:szCs w:val="20"/>
          <w:lang w:val="fr-FR"/>
        </w:rPr>
        <w:t>’</w:t>
      </w:r>
      <w:r w:rsidRPr="00A86354" w:rsidR="00EB2954">
        <w:rPr>
          <w:rFonts w:ascii="Arial" w:hAnsi="Arial" w:cs="Arial"/>
          <w:sz w:val="20"/>
          <w:szCs w:val="20"/>
          <w:lang w:val="fr-FR"/>
        </w:rPr>
        <w:t xml:space="preserve">autonomie des personnes handicapées </w:t>
      </w:r>
      <w:r w:rsidRPr="00A86354" w:rsidR="002C5D46">
        <w:rPr>
          <w:rFonts w:ascii="Arial" w:hAnsi="Arial" w:cs="Arial"/>
          <w:sz w:val="20"/>
          <w:szCs w:val="20"/>
          <w:lang w:val="fr-FR"/>
        </w:rPr>
        <w:t>[...]</w:t>
      </w:r>
      <w:r w:rsidRPr="00A86354" w:rsidR="00EB2954">
        <w:rPr>
          <w:rFonts w:ascii="Arial" w:hAnsi="Arial" w:cs="Arial"/>
          <w:sz w:val="20"/>
          <w:szCs w:val="20"/>
          <w:lang w:val="fr-FR"/>
        </w:rPr>
        <w:t xml:space="preserve"> Ces équipes comprennent l</w:t>
      </w:r>
      <w:r w:rsidRPr="00A86354" w:rsidR="0006032C">
        <w:rPr>
          <w:rFonts w:ascii="Arial" w:hAnsi="Arial" w:cs="Arial"/>
          <w:sz w:val="20"/>
          <w:szCs w:val="20"/>
          <w:lang w:val="fr-FR"/>
        </w:rPr>
        <w:t>’</w:t>
      </w:r>
      <w:r w:rsidRPr="00A86354" w:rsidR="00EB2954">
        <w:rPr>
          <w:rFonts w:ascii="Arial" w:hAnsi="Arial" w:cs="Arial"/>
          <w:sz w:val="20"/>
          <w:szCs w:val="20"/>
          <w:lang w:val="fr-FR"/>
        </w:rPr>
        <w:t>ensemble des personnes qui concourent à la mise en œuvre du projet personnalisé de scolarisation et en particulier le ou les enseignants qui ont en charge l</w:t>
      </w:r>
      <w:r w:rsidRPr="00A86354" w:rsidR="0006032C">
        <w:rPr>
          <w:rFonts w:ascii="Arial" w:hAnsi="Arial" w:cs="Arial"/>
          <w:sz w:val="20"/>
          <w:szCs w:val="20"/>
          <w:lang w:val="fr-FR"/>
        </w:rPr>
        <w:t>’</w:t>
      </w:r>
      <w:r w:rsidRPr="00A86354" w:rsidR="00EB2954">
        <w:rPr>
          <w:rFonts w:ascii="Arial" w:hAnsi="Arial" w:cs="Arial"/>
          <w:sz w:val="20"/>
          <w:szCs w:val="20"/>
          <w:lang w:val="fr-FR"/>
        </w:rPr>
        <w:t>enfant ou l</w:t>
      </w:r>
      <w:r w:rsidRPr="00A86354" w:rsidR="0006032C">
        <w:rPr>
          <w:rFonts w:ascii="Arial" w:hAnsi="Arial" w:cs="Arial"/>
          <w:sz w:val="20"/>
          <w:szCs w:val="20"/>
          <w:lang w:val="fr-FR"/>
        </w:rPr>
        <w:t>’</w:t>
      </w:r>
      <w:r w:rsidRPr="00A86354" w:rsidR="00EB2954">
        <w:rPr>
          <w:rFonts w:ascii="Arial" w:hAnsi="Arial" w:cs="Arial"/>
          <w:sz w:val="20"/>
          <w:szCs w:val="20"/>
          <w:lang w:val="fr-FR"/>
        </w:rPr>
        <w:t xml:space="preserve">adolescent. </w:t>
      </w:r>
    </w:p>
    <w:p w:rsidRPr="00A86354" w:rsidR="00EB2954" w:rsidP="00A86354" w:rsidRDefault="00EB2954" w14:paraId="52AFBA00" w14:textId="77777777">
      <w:pPr>
        <w:ind w:left="709"/>
        <w:rPr>
          <w:rFonts w:ascii="Arial" w:hAnsi="Arial" w:cs="Arial"/>
          <w:sz w:val="20"/>
          <w:szCs w:val="20"/>
          <w:lang w:val="fr-FR"/>
        </w:rPr>
      </w:pPr>
    </w:p>
    <w:p w:rsidRPr="00A86354" w:rsidR="00EB2954" w:rsidP="00A86354" w:rsidRDefault="00EB2954" w14:paraId="3A7F6253" w14:textId="5BCA8AE1">
      <w:pPr>
        <w:ind w:left="709"/>
        <w:rPr>
          <w:rFonts w:ascii="Arial" w:hAnsi="Arial" w:cs="Arial"/>
          <w:sz w:val="20"/>
          <w:szCs w:val="20"/>
          <w:lang w:val="fr-FR"/>
        </w:rPr>
      </w:pPr>
      <w:r w:rsidRPr="00A86354">
        <w:rPr>
          <w:rFonts w:ascii="Arial" w:hAnsi="Arial" w:cs="Arial"/>
          <w:sz w:val="20"/>
          <w:szCs w:val="20"/>
          <w:lang w:val="fr-FR"/>
        </w:rPr>
        <w:t>Elles peuvent, avec l</w:t>
      </w:r>
      <w:r w:rsidRPr="00A86354" w:rsidR="0006032C">
        <w:rPr>
          <w:rFonts w:ascii="Arial" w:hAnsi="Arial" w:cs="Arial"/>
          <w:sz w:val="20"/>
          <w:szCs w:val="20"/>
          <w:lang w:val="fr-FR"/>
        </w:rPr>
        <w:t>’</w:t>
      </w:r>
      <w:r w:rsidRPr="00A86354">
        <w:rPr>
          <w:rFonts w:ascii="Arial" w:hAnsi="Arial" w:cs="Arial"/>
          <w:sz w:val="20"/>
          <w:szCs w:val="20"/>
          <w:lang w:val="fr-FR"/>
        </w:rPr>
        <w:t>accord [des] parents [de l</w:t>
      </w:r>
      <w:r w:rsidRPr="00A86354" w:rsidR="0006032C">
        <w:rPr>
          <w:rFonts w:ascii="Arial" w:hAnsi="Arial" w:cs="Arial"/>
          <w:sz w:val="20"/>
          <w:szCs w:val="20"/>
          <w:lang w:val="fr-FR"/>
        </w:rPr>
        <w:t>’</w:t>
      </w:r>
      <w:r w:rsidRPr="00A86354">
        <w:rPr>
          <w:rFonts w:ascii="Arial" w:hAnsi="Arial" w:cs="Arial"/>
          <w:sz w:val="20"/>
          <w:szCs w:val="20"/>
          <w:lang w:val="fr-FR"/>
        </w:rPr>
        <w:t xml:space="preserve">enfant] ou de son représentant légal, proposer à la commission </w:t>
      </w:r>
      <w:r w:rsidRPr="00A86354" w:rsidR="002C5D46">
        <w:rPr>
          <w:rFonts w:ascii="Arial" w:hAnsi="Arial" w:cs="Arial"/>
          <w:sz w:val="20"/>
          <w:szCs w:val="20"/>
          <w:lang w:val="fr-FR"/>
        </w:rPr>
        <w:t>[...]</w:t>
      </w:r>
      <w:r w:rsidRPr="00A86354">
        <w:rPr>
          <w:rFonts w:ascii="Arial" w:hAnsi="Arial" w:cs="Arial"/>
          <w:sz w:val="20"/>
          <w:szCs w:val="20"/>
          <w:lang w:val="fr-FR"/>
        </w:rPr>
        <w:t xml:space="preserve"> toute révision de l</w:t>
      </w:r>
      <w:r w:rsidRPr="00A86354" w:rsidR="0006032C">
        <w:rPr>
          <w:rFonts w:ascii="Arial" w:hAnsi="Arial" w:cs="Arial"/>
          <w:sz w:val="20"/>
          <w:szCs w:val="20"/>
          <w:lang w:val="fr-FR"/>
        </w:rPr>
        <w:t>’</w:t>
      </w:r>
      <w:r w:rsidRPr="00A86354">
        <w:rPr>
          <w:rFonts w:ascii="Arial" w:hAnsi="Arial" w:cs="Arial"/>
          <w:sz w:val="20"/>
          <w:szCs w:val="20"/>
          <w:lang w:val="fr-FR"/>
        </w:rPr>
        <w:t>orientation d</w:t>
      </w:r>
      <w:r w:rsidRPr="00A86354" w:rsidR="0006032C">
        <w:rPr>
          <w:rFonts w:ascii="Arial" w:hAnsi="Arial" w:cs="Arial"/>
          <w:sz w:val="20"/>
          <w:szCs w:val="20"/>
          <w:lang w:val="fr-FR"/>
        </w:rPr>
        <w:t>’</w:t>
      </w:r>
      <w:r w:rsidRPr="00A86354">
        <w:rPr>
          <w:rFonts w:ascii="Arial" w:hAnsi="Arial" w:cs="Arial"/>
          <w:sz w:val="20"/>
          <w:szCs w:val="20"/>
          <w:lang w:val="fr-FR"/>
        </w:rPr>
        <w:t>un enfant ou d</w:t>
      </w:r>
      <w:r w:rsidRPr="00A86354" w:rsidR="0006032C">
        <w:rPr>
          <w:rFonts w:ascii="Arial" w:hAnsi="Arial" w:cs="Arial"/>
          <w:sz w:val="20"/>
          <w:szCs w:val="20"/>
          <w:lang w:val="fr-FR"/>
        </w:rPr>
        <w:t>’</w:t>
      </w:r>
      <w:r w:rsidRPr="00A86354">
        <w:rPr>
          <w:rFonts w:ascii="Arial" w:hAnsi="Arial" w:cs="Arial"/>
          <w:sz w:val="20"/>
          <w:szCs w:val="20"/>
          <w:lang w:val="fr-FR"/>
        </w:rPr>
        <w:t>un adolescent qu</w:t>
      </w:r>
      <w:r w:rsidRPr="00A86354" w:rsidR="0006032C">
        <w:rPr>
          <w:rFonts w:ascii="Arial" w:hAnsi="Arial" w:cs="Arial"/>
          <w:sz w:val="20"/>
          <w:szCs w:val="20"/>
          <w:lang w:val="fr-FR"/>
        </w:rPr>
        <w:t>’</w:t>
      </w:r>
      <w:r w:rsidRPr="00A86354">
        <w:rPr>
          <w:rFonts w:ascii="Arial" w:hAnsi="Arial" w:cs="Arial"/>
          <w:sz w:val="20"/>
          <w:szCs w:val="20"/>
          <w:lang w:val="fr-FR"/>
        </w:rPr>
        <w:t>elles jugeraient utile.</w:t>
      </w:r>
      <w:r w:rsidRPr="00A86354" w:rsidR="000807D5">
        <w:rPr>
          <w:rFonts w:ascii="Arial" w:hAnsi="Arial" w:cs="Arial"/>
          <w:sz w:val="20"/>
          <w:szCs w:val="20"/>
          <w:lang w:val="fr-FR"/>
        </w:rPr>
        <w:t> »</w:t>
      </w:r>
      <w:r w:rsidRPr="00A86354">
        <w:rPr>
          <w:rFonts w:ascii="Arial" w:hAnsi="Arial" w:cs="Arial"/>
          <w:sz w:val="20"/>
          <w:szCs w:val="20"/>
          <w:lang w:val="fr-FR"/>
        </w:rPr>
        <w:t xml:space="preserve"> </w:t>
      </w:r>
    </w:p>
    <w:p w:rsidRPr="00A86354" w:rsidR="00EB2954" w:rsidP="00EB2954" w:rsidRDefault="00EB2954" w14:paraId="43EBD934" w14:textId="77777777">
      <w:pPr>
        <w:rPr>
          <w:rFonts w:ascii="Arial" w:hAnsi="Arial" w:cs="Arial"/>
          <w:lang w:val="fr-FR"/>
        </w:rPr>
      </w:pPr>
    </w:p>
    <w:p w:rsidRPr="00A86354" w:rsidR="00EB2954" w:rsidP="00CE016A" w:rsidRDefault="00EB2954" w14:paraId="49F86B91" w14:textId="05B34BEF">
      <w:pPr>
        <w:pStyle w:val="ListParagraph"/>
        <w:numPr>
          <w:ilvl w:val="0"/>
          <w:numId w:val="1"/>
        </w:numPr>
        <w:ind w:left="0" w:firstLine="0"/>
        <w:rPr>
          <w:rFonts w:cs="Arial"/>
          <w:lang w:val="fr-FR"/>
        </w:rPr>
      </w:pPr>
      <w:r w:rsidRPr="00A86354">
        <w:rPr>
          <w:rFonts w:cs="Arial"/>
          <w:lang w:val="fr-FR"/>
        </w:rPr>
        <w:t>L</w:t>
      </w:r>
      <w:r w:rsidRPr="00A86354" w:rsidR="0006032C">
        <w:rPr>
          <w:rFonts w:cs="Arial"/>
          <w:lang w:val="fr-FR"/>
        </w:rPr>
        <w:t>’</w:t>
      </w:r>
      <w:r w:rsidRPr="00A86354">
        <w:rPr>
          <w:rFonts w:cs="Arial"/>
          <w:lang w:val="fr-FR"/>
        </w:rPr>
        <w:t>article L917-1 du code de l</w:t>
      </w:r>
      <w:r w:rsidRPr="00A86354" w:rsidR="0006032C">
        <w:rPr>
          <w:rFonts w:cs="Arial"/>
          <w:lang w:val="fr-FR"/>
        </w:rPr>
        <w:t>’</w:t>
      </w:r>
      <w:r w:rsidRPr="00A86354">
        <w:rPr>
          <w:rFonts w:cs="Arial"/>
          <w:lang w:val="fr-FR"/>
        </w:rPr>
        <w:t>éducation tel que modifié par la loi n° 2019-791 du 26 juillet 2019 régit le statut des AESH (accompagnants d</w:t>
      </w:r>
      <w:r w:rsidRPr="00A86354" w:rsidR="0006032C">
        <w:rPr>
          <w:rFonts w:cs="Arial"/>
          <w:lang w:val="fr-FR"/>
        </w:rPr>
        <w:t>’</w:t>
      </w:r>
      <w:r w:rsidRPr="00A86354">
        <w:rPr>
          <w:rFonts w:cs="Arial"/>
          <w:lang w:val="fr-FR"/>
        </w:rPr>
        <w:t>élèves en situation de handicap)</w:t>
      </w:r>
      <w:r w:rsidRPr="00A86354" w:rsidR="000807D5">
        <w:rPr>
          <w:rFonts w:cs="Arial"/>
          <w:lang w:val="fr-FR"/>
        </w:rPr>
        <w:t> :</w:t>
      </w:r>
    </w:p>
    <w:p w:rsidRPr="00A86354" w:rsidR="00EB2954" w:rsidP="00EB2954" w:rsidRDefault="00EB2954" w14:paraId="5A43850C" w14:textId="77777777">
      <w:pPr>
        <w:pStyle w:val="ListParagraph"/>
        <w:ind w:left="360"/>
        <w:rPr>
          <w:rFonts w:cs="Arial"/>
          <w:lang w:val="fr-FR"/>
        </w:rPr>
      </w:pPr>
    </w:p>
    <w:p w:rsidRPr="00A86354" w:rsidR="00EB2954" w:rsidP="00A86354" w:rsidRDefault="000807D5" w14:paraId="6B54025C" w14:textId="743CE048">
      <w:pPr>
        <w:ind w:left="709"/>
        <w:rPr>
          <w:rFonts w:ascii="Arial" w:hAnsi="Arial" w:cs="Arial"/>
          <w:sz w:val="20"/>
          <w:szCs w:val="20"/>
          <w:lang w:val="fr-FR"/>
        </w:rPr>
      </w:pPr>
      <w:r w:rsidRPr="00A86354">
        <w:rPr>
          <w:rFonts w:ascii="Arial" w:hAnsi="Arial" w:cs="Arial"/>
          <w:sz w:val="20"/>
          <w:szCs w:val="20"/>
          <w:lang w:val="fr-FR"/>
        </w:rPr>
        <w:t>« </w:t>
      </w:r>
      <w:r w:rsidRPr="00A86354" w:rsidR="00EB2954">
        <w:rPr>
          <w:rFonts w:ascii="Arial" w:hAnsi="Arial" w:cs="Arial"/>
          <w:sz w:val="20"/>
          <w:szCs w:val="20"/>
          <w:lang w:val="fr-FR"/>
        </w:rPr>
        <w:t>Des accompagnants des élèves en situation de handicap peuvent être recrutés pour exercer des fonctions d</w:t>
      </w:r>
      <w:r w:rsidRPr="00A86354" w:rsidR="0006032C">
        <w:rPr>
          <w:rFonts w:ascii="Arial" w:hAnsi="Arial" w:cs="Arial"/>
          <w:sz w:val="20"/>
          <w:szCs w:val="20"/>
          <w:lang w:val="fr-FR"/>
        </w:rPr>
        <w:t>’</w:t>
      </w:r>
      <w:r w:rsidRPr="00A86354" w:rsidR="00EB2954">
        <w:rPr>
          <w:rFonts w:ascii="Arial" w:hAnsi="Arial" w:cs="Arial"/>
          <w:sz w:val="20"/>
          <w:szCs w:val="20"/>
          <w:lang w:val="fr-FR"/>
        </w:rPr>
        <w:t>aide à l</w:t>
      </w:r>
      <w:r w:rsidRPr="00A86354" w:rsidR="0006032C">
        <w:rPr>
          <w:rFonts w:ascii="Arial" w:hAnsi="Arial" w:cs="Arial"/>
          <w:sz w:val="20"/>
          <w:szCs w:val="20"/>
          <w:lang w:val="fr-FR"/>
        </w:rPr>
        <w:t>’</w:t>
      </w:r>
      <w:r w:rsidRPr="00A86354" w:rsidR="00EB2954">
        <w:rPr>
          <w:rFonts w:ascii="Arial" w:hAnsi="Arial" w:cs="Arial"/>
          <w:sz w:val="20"/>
          <w:szCs w:val="20"/>
          <w:lang w:val="fr-FR"/>
        </w:rPr>
        <w:t>inclusion scolaire de ces élèves, y compris en dehors du temps scolaire. Ils sont recrutés par l</w:t>
      </w:r>
      <w:r w:rsidRPr="00A86354" w:rsidR="0006032C">
        <w:rPr>
          <w:rFonts w:ascii="Arial" w:hAnsi="Arial" w:cs="Arial"/>
          <w:sz w:val="20"/>
          <w:szCs w:val="20"/>
          <w:lang w:val="fr-FR"/>
        </w:rPr>
        <w:t>’</w:t>
      </w:r>
      <w:r w:rsidRPr="00A86354" w:rsidR="00EB2954">
        <w:rPr>
          <w:rFonts w:ascii="Arial" w:hAnsi="Arial" w:cs="Arial"/>
          <w:sz w:val="20"/>
          <w:szCs w:val="20"/>
          <w:lang w:val="fr-FR"/>
        </w:rPr>
        <w:t>Etat, par les établissements d</w:t>
      </w:r>
      <w:r w:rsidRPr="00A86354" w:rsidR="0006032C">
        <w:rPr>
          <w:rFonts w:ascii="Arial" w:hAnsi="Arial" w:cs="Arial"/>
          <w:sz w:val="20"/>
          <w:szCs w:val="20"/>
          <w:lang w:val="fr-FR"/>
        </w:rPr>
        <w:t>’</w:t>
      </w:r>
      <w:r w:rsidRPr="00A86354" w:rsidR="00EB2954">
        <w:rPr>
          <w:rFonts w:ascii="Arial" w:hAnsi="Arial" w:cs="Arial"/>
          <w:sz w:val="20"/>
          <w:szCs w:val="20"/>
          <w:lang w:val="fr-FR"/>
        </w:rPr>
        <w:t xml:space="preserve">enseignement </w:t>
      </w:r>
      <w:r w:rsidRPr="00A86354" w:rsidR="002C5D46">
        <w:rPr>
          <w:rFonts w:ascii="Arial" w:hAnsi="Arial" w:cs="Arial"/>
          <w:sz w:val="20"/>
          <w:szCs w:val="20"/>
          <w:lang w:val="fr-FR"/>
        </w:rPr>
        <w:t>[...]</w:t>
      </w:r>
      <w:r w:rsidRPr="00A86354" w:rsidR="00EB2954">
        <w:rPr>
          <w:rFonts w:ascii="Arial" w:hAnsi="Arial" w:cs="Arial"/>
          <w:sz w:val="20"/>
          <w:szCs w:val="20"/>
          <w:lang w:val="fr-FR"/>
        </w:rPr>
        <w:t>. Lorsqu</w:t>
      </w:r>
      <w:r w:rsidRPr="00A86354" w:rsidR="0006032C">
        <w:rPr>
          <w:rFonts w:ascii="Arial" w:hAnsi="Arial" w:cs="Arial"/>
          <w:sz w:val="20"/>
          <w:szCs w:val="20"/>
          <w:lang w:val="fr-FR"/>
        </w:rPr>
        <w:t>’</w:t>
      </w:r>
      <w:r w:rsidRPr="00A86354" w:rsidR="00EB2954">
        <w:rPr>
          <w:rFonts w:ascii="Arial" w:hAnsi="Arial" w:cs="Arial"/>
          <w:sz w:val="20"/>
          <w:szCs w:val="20"/>
          <w:lang w:val="fr-FR"/>
        </w:rPr>
        <w:t>ils sont recrutés par ces établissements, leur recrutement intervient après accord du directeur académique des services de l</w:t>
      </w:r>
      <w:r w:rsidRPr="00A86354" w:rsidR="0006032C">
        <w:rPr>
          <w:rFonts w:ascii="Arial" w:hAnsi="Arial" w:cs="Arial"/>
          <w:sz w:val="20"/>
          <w:szCs w:val="20"/>
          <w:lang w:val="fr-FR"/>
        </w:rPr>
        <w:t>’</w:t>
      </w:r>
      <w:r w:rsidRPr="00A86354" w:rsidR="00EB2954">
        <w:rPr>
          <w:rFonts w:ascii="Arial" w:hAnsi="Arial" w:cs="Arial"/>
          <w:sz w:val="20"/>
          <w:szCs w:val="20"/>
          <w:lang w:val="fr-FR"/>
        </w:rPr>
        <w:t>éducation nationale.</w:t>
      </w:r>
    </w:p>
    <w:p w:rsidRPr="00A86354" w:rsidR="00EB2954" w:rsidP="00A86354" w:rsidRDefault="00EB2954" w14:paraId="10EB7DEF" w14:textId="77777777">
      <w:pPr>
        <w:ind w:left="709"/>
        <w:rPr>
          <w:rFonts w:ascii="Arial" w:hAnsi="Arial" w:cs="Arial"/>
          <w:sz w:val="20"/>
          <w:szCs w:val="20"/>
          <w:lang w:val="fr-FR"/>
        </w:rPr>
      </w:pPr>
    </w:p>
    <w:p w:rsidRPr="00A86354" w:rsidR="00EB2954" w:rsidP="00A86354" w:rsidRDefault="00EB2954" w14:paraId="354AECB4" w14:textId="5090759D">
      <w:pPr>
        <w:ind w:left="709"/>
        <w:rPr>
          <w:rFonts w:ascii="Arial" w:hAnsi="Arial" w:cs="Arial"/>
          <w:sz w:val="20"/>
          <w:szCs w:val="20"/>
          <w:lang w:val="fr-FR"/>
        </w:rPr>
      </w:pPr>
      <w:r w:rsidRPr="00A86354">
        <w:rPr>
          <w:rFonts w:ascii="Arial" w:hAnsi="Arial" w:cs="Arial"/>
          <w:sz w:val="20"/>
          <w:szCs w:val="20"/>
          <w:lang w:val="fr-FR"/>
        </w:rPr>
        <w:t>Des accompagnants des élèves en situation de handicap peuvent également être recrutés pour exercer des fonctions d</w:t>
      </w:r>
      <w:r w:rsidRPr="00A86354" w:rsidR="0006032C">
        <w:rPr>
          <w:rFonts w:ascii="Arial" w:hAnsi="Arial" w:cs="Arial"/>
          <w:sz w:val="20"/>
          <w:szCs w:val="20"/>
          <w:lang w:val="fr-FR"/>
        </w:rPr>
        <w:t>’</w:t>
      </w:r>
      <w:r w:rsidRPr="00A86354">
        <w:rPr>
          <w:rFonts w:ascii="Arial" w:hAnsi="Arial" w:cs="Arial"/>
          <w:sz w:val="20"/>
          <w:szCs w:val="20"/>
          <w:lang w:val="fr-FR"/>
        </w:rPr>
        <w:t>accompagnement auprès des étudiants en situation de handicap inscrits dans les établissements d</w:t>
      </w:r>
      <w:r w:rsidRPr="00A86354" w:rsidR="0006032C">
        <w:rPr>
          <w:rFonts w:ascii="Arial" w:hAnsi="Arial" w:cs="Arial"/>
          <w:sz w:val="20"/>
          <w:szCs w:val="20"/>
          <w:lang w:val="fr-FR"/>
        </w:rPr>
        <w:t>’</w:t>
      </w:r>
      <w:r w:rsidRPr="00A86354">
        <w:rPr>
          <w:rFonts w:ascii="Arial" w:hAnsi="Arial" w:cs="Arial"/>
          <w:sz w:val="20"/>
          <w:szCs w:val="20"/>
          <w:lang w:val="fr-FR"/>
        </w:rPr>
        <w:t xml:space="preserve">enseignement supérieur </w:t>
      </w:r>
      <w:r w:rsidRPr="00A86354" w:rsidR="002C5D46">
        <w:rPr>
          <w:rFonts w:ascii="Arial" w:hAnsi="Arial" w:cs="Arial"/>
          <w:sz w:val="20"/>
          <w:szCs w:val="20"/>
          <w:lang w:val="fr-FR"/>
        </w:rPr>
        <w:t>[...]</w:t>
      </w:r>
      <w:r w:rsidRPr="00A86354">
        <w:rPr>
          <w:rFonts w:ascii="Arial" w:hAnsi="Arial" w:cs="Arial"/>
          <w:sz w:val="20"/>
          <w:szCs w:val="20"/>
          <w:lang w:val="fr-FR"/>
        </w:rPr>
        <w:t xml:space="preserve"> et pour lesquels une aide a été reconnue nécessaire par la commission mentionnée à l</w:t>
      </w:r>
      <w:r w:rsidRPr="00A86354" w:rsidR="0006032C">
        <w:rPr>
          <w:rFonts w:ascii="Arial" w:hAnsi="Arial" w:cs="Arial"/>
          <w:sz w:val="20"/>
          <w:szCs w:val="20"/>
          <w:lang w:val="fr-FR"/>
        </w:rPr>
        <w:t>’</w:t>
      </w:r>
      <w:r w:rsidRPr="00A86354">
        <w:rPr>
          <w:rFonts w:ascii="Arial" w:hAnsi="Arial" w:cs="Arial"/>
          <w:sz w:val="20"/>
          <w:szCs w:val="20"/>
          <w:lang w:val="fr-FR"/>
        </w:rPr>
        <w:t>article L. 146-9 du code de l</w:t>
      </w:r>
      <w:r w:rsidRPr="00A86354" w:rsidR="0006032C">
        <w:rPr>
          <w:rFonts w:ascii="Arial" w:hAnsi="Arial" w:cs="Arial"/>
          <w:sz w:val="20"/>
          <w:szCs w:val="20"/>
          <w:lang w:val="fr-FR"/>
        </w:rPr>
        <w:t>’</w:t>
      </w:r>
      <w:r w:rsidRPr="00A86354">
        <w:rPr>
          <w:rFonts w:ascii="Arial" w:hAnsi="Arial" w:cs="Arial"/>
          <w:sz w:val="20"/>
          <w:szCs w:val="20"/>
          <w:lang w:val="fr-FR"/>
        </w:rPr>
        <w:t>action sociale et des familles.</w:t>
      </w:r>
    </w:p>
    <w:p w:rsidRPr="00A86354" w:rsidR="00EB2954" w:rsidP="00A86354" w:rsidRDefault="00EB2954" w14:paraId="166775AF" w14:textId="77777777">
      <w:pPr>
        <w:ind w:left="709"/>
        <w:rPr>
          <w:rFonts w:ascii="Arial" w:hAnsi="Arial" w:cs="Arial"/>
          <w:sz w:val="20"/>
          <w:szCs w:val="20"/>
          <w:lang w:val="fr-FR"/>
        </w:rPr>
      </w:pPr>
    </w:p>
    <w:p w:rsidRPr="00A86354" w:rsidR="00EB2954" w:rsidP="00A86354" w:rsidRDefault="00EB2954" w14:paraId="1A1A6835" w14:textId="49A6A37A">
      <w:pPr>
        <w:ind w:left="709"/>
        <w:rPr>
          <w:rFonts w:ascii="Arial" w:hAnsi="Arial" w:cs="Arial"/>
          <w:sz w:val="20"/>
          <w:szCs w:val="20"/>
          <w:lang w:val="fr-FR"/>
        </w:rPr>
      </w:pPr>
      <w:r w:rsidRPr="00A86354">
        <w:rPr>
          <w:rFonts w:ascii="Arial" w:hAnsi="Arial" w:cs="Arial"/>
          <w:sz w:val="20"/>
          <w:szCs w:val="20"/>
          <w:lang w:val="fr-FR"/>
        </w:rPr>
        <w:t>Ils peuvent exercer leurs fonctions dans l</w:t>
      </w:r>
      <w:r w:rsidRPr="00A86354" w:rsidR="0006032C">
        <w:rPr>
          <w:rFonts w:ascii="Arial" w:hAnsi="Arial" w:cs="Arial"/>
          <w:sz w:val="20"/>
          <w:szCs w:val="20"/>
          <w:lang w:val="fr-FR"/>
        </w:rPr>
        <w:t>’</w:t>
      </w:r>
      <w:r w:rsidRPr="00A86354">
        <w:rPr>
          <w:rFonts w:ascii="Arial" w:hAnsi="Arial" w:cs="Arial"/>
          <w:sz w:val="20"/>
          <w:szCs w:val="20"/>
          <w:lang w:val="fr-FR"/>
        </w:rPr>
        <w:t>établissement qui les a recrutés, dans un ou plusieurs autres établissements ainsi que, compte tenu des besoins appréciés par l</w:t>
      </w:r>
      <w:r w:rsidRPr="00A86354" w:rsidR="0006032C">
        <w:rPr>
          <w:rFonts w:ascii="Arial" w:hAnsi="Arial" w:cs="Arial"/>
          <w:sz w:val="20"/>
          <w:szCs w:val="20"/>
          <w:lang w:val="fr-FR"/>
        </w:rPr>
        <w:t>’</w:t>
      </w:r>
      <w:r w:rsidRPr="00A86354">
        <w:rPr>
          <w:rFonts w:ascii="Arial" w:hAnsi="Arial" w:cs="Arial"/>
          <w:sz w:val="20"/>
          <w:szCs w:val="20"/>
          <w:lang w:val="fr-FR"/>
        </w:rPr>
        <w:t>autorité administrative, dans une ou plusieurs écoles. Dans ce dernier cas, les directeurs d</w:t>
      </w:r>
      <w:r w:rsidRPr="00A86354" w:rsidR="0006032C">
        <w:rPr>
          <w:rFonts w:ascii="Arial" w:hAnsi="Arial" w:cs="Arial"/>
          <w:sz w:val="20"/>
          <w:szCs w:val="20"/>
          <w:lang w:val="fr-FR"/>
        </w:rPr>
        <w:t>’</w:t>
      </w:r>
      <w:r w:rsidRPr="00A86354">
        <w:rPr>
          <w:rFonts w:ascii="Arial" w:hAnsi="Arial" w:cs="Arial"/>
          <w:sz w:val="20"/>
          <w:szCs w:val="20"/>
          <w:lang w:val="fr-FR"/>
        </w:rPr>
        <w:t>école peuvent participer à la procédure de recrutement.</w:t>
      </w:r>
    </w:p>
    <w:p w:rsidRPr="00A86354" w:rsidR="00EB2954" w:rsidP="00A86354" w:rsidRDefault="00EB2954" w14:paraId="021C847C" w14:textId="77777777">
      <w:pPr>
        <w:ind w:left="709"/>
        <w:rPr>
          <w:rFonts w:ascii="Arial" w:hAnsi="Arial" w:cs="Arial"/>
          <w:sz w:val="20"/>
          <w:szCs w:val="20"/>
          <w:lang w:val="fr-FR"/>
        </w:rPr>
      </w:pPr>
    </w:p>
    <w:p w:rsidRPr="00A86354" w:rsidR="00EB2954" w:rsidP="00A86354" w:rsidRDefault="00EB2954" w14:paraId="1B134A9D" w14:textId="10863F25">
      <w:pPr>
        <w:ind w:left="709"/>
        <w:rPr>
          <w:rFonts w:ascii="Arial" w:hAnsi="Arial" w:cs="Arial"/>
          <w:sz w:val="20"/>
          <w:szCs w:val="20"/>
          <w:lang w:val="fr-FR"/>
        </w:rPr>
      </w:pPr>
      <w:r w:rsidRPr="00A86354">
        <w:rPr>
          <w:rFonts w:ascii="Arial" w:hAnsi="Arial" w:cs="Arial"/>
          <w:sz w:val="20"/>
          <w:szCs w:val="20"/>
          <w:lang w:val="fr-FR"/>
        </w:rPr>
        <w:t>L</w:t>
      </w:r>
      <w:r w:rsidRPr="00A86354" w:rsidR="0006032C">
        <w:rPr>
          <w:rFonts w:ascii="Arial" w:hAnsi="Arial" w:cs="Arial"/>
          <w:sz w:val="20"/>
          <w:szCs w:val="20"/>
          <w:lang w:val="fr-FR"/>
        </w:rPr>
        <w:t>’</w:t>
      </w:r>
      <w:r w:rsidRPr="00A86354">
        <w:rPr>
          <w:rFonts w:ascii="Arial" w:hAnsi="Arial" w:cs="Arial"/>
          <w:sz w:val="20"/>
          <w:szCs w:val="20"/>
          <w:lang w:val="fr-FR"/>
        </w:rPr>
        <w:t>autorité compétente de l</w:t>
      </w:r>
      <w:r w:rsidRPr="00A86354" w:rsidR="0006032C">
        <w:rPr>
          <w:rFonts w:ascii="Arial" w:hAnsi="Arial" w:cs="Arial"/>
          <w:sz w:val="20"/>
          <w:szCs w:val="20"/>
          <w:lang w:val="fr-FR"/>
        </w:rPr>
        <w:t>’</w:t>
      </w:r>
      <w:r w:rsidRPr="00A86354">
        <w:rPr>
          <w:rFonts w:ascii="Arial" w:hAnsi="Arial" w:cs="Arial"/>
          <w:sz w:val="20"/>
          <w:szCs w:val="20"/>
          <w:lang w:val="fr-FR"/>
        </w:rPr>
        <w:t>État en matière d</w:t>
      </w:r>
      <w:r w:rsidRPr="00A86354" w:rsidR="0006032C">
        <w:rPr>
          <w:rFonts w:ascii="Arial" w:hAnsi="Arial" w:cs="Arial"/>
          <w:sz w:val="20"/>
          <w:szCs w:val="20"/>
          <w:lang w:val="fr-FR"/>
        </w:rPr>
        <w:t>’</w:t>
      </w:r>
      <w:r w:rsidRPr="00A86354">
        <w:rPr>
          <w:rFonts w:ascii="Arial" w:hAnsi="Arial" w:cs="Arial"/>
          <w:sz w:val="20"/>
          <w:szCs w:val="20"/>
          <w:lang w:val="fr-FR"/>
        </w:rPr>
        <w:t>éducation et les collectivités territoriales peuvent s</w:t>
      </w:r>
      <w:r w:rsidRPr="00A86354" w:rsidR="0006032C">
        <w:rPr>
          <w:rFonts w:ascii="Arial" w:hAnsi="Arial" w:cs="Arial"/>
          <w:sz w:val="20"/>
          <w:szCs w:val="20"/>
          <w:lang w:val="fr-FR"/>
        </w:rPr>
        <w:t>’</w:t>
      </w:r>
      <w:r w:rsidRPr="00A86354">
        <w:rPr>
          <w:rFonts w:ascii="Arial" w:hAnsi="Arial" w:cs="Arial"/>
          <w:sz w:val="20"/>
          <w:szCs w:val="20"/>
          <w:lang w:val="fr-FR"/>
        </w:rPr>
        <w:t>associer par convention en vue du recrutement commun d</w:t>
      </w:r>
      <w:r w:rsidRPr="00A86354" w:rsidR="0006032C">
        <w:rPr>
          <w:rFonts w:ascii="Arial" w:hAnsi="Arial" w:cs="Arial"/>
          <w:sz w:val="20"/>
          <w:szCs w:val="20"/>
          <w:lang w:val="fr-FR"/>
        </w:rPr>
        <w:t>’</w:t>
      </w:r>
      <w:r w:rsidRPr="00A86354">
        <w:rPr>
          <w:rFonts w:ascii="Arial" w:hAnsi="Arial" w:cs="Arial"/>
          <w:sz w:val="20"/>
          <w:szCs w:val="20"/>
          <w:lang w:val="fr-FR"/>
        </w:rPr>
        <w:t xml:space="preserve">accompagnants des élèves en situation de handicap. </w:t>
      </w:r>
      <w:r w:rsidRPr="00A86354" w:rsidR="002C5D46">
        <w:rPr>
          <w:rFonts w:ascii="Arial" w:hAnsi="Arial" w:cs="Arial"/>
          <w:sz w:val="20"/>
          <w:szCs w:val="20"/>
          <w:lang w:val="fr-FR"/>
        </w:rPr>
        <w:t>[...]</w:t>
      </w:r>
    </w:p>
    <w:p w:rsidRPr="00A86354" w:rsidR="00EB2954" w:rsidP="00A86354" w:rsidRDefault="00EB2954" w14:paraId="4E221A0A" w14:textId="77777777">
      <w:pPr>
        <w:ind w:left="709"/>
        <w:rPr>
          <w:rFonts w:ascii="Arial" w:hAnsi="Arial" w:cs="Arial"/>
          <w:sz w:val="20"/>
          <w:szCs w:val="20"/>
          <w:lang w:val="fr-FR"/>
        </w:rPr>
      </w:pPr>
    </w:p>
    <w:p w:rsidRPr="00A86354" w:rsidR="00EB2954" w:rsidP="00A86354" w:rsidRDefault="00EB2954" w14:paraId="0D4DDA89" w14:textId="3E4AD665">
      <w:pPr>
        <w:ind w:left="709"/>
        <w:rPr>
          <w:rFonts w:ascii="Arial" w:hAnsi="Arial" w:cs="Arial"/>
          <w:sz w:val="20"/>
          <w:szCs w:val="20"/>
          <w:lang w:val="fr-FR"/>
        </w:rPr>
      </w:pPr>
      <w:r w:rsidRPr="00A86354">
        <w:rPr>
          <w:rFonts w:ascii="Arial" w:hAnsi="Arial" w:cs="Arial"/>
          <w:sz w:val="20"/>
          <w:szCs w:val="20"/>
          <w:lang w:val="fr-FR"/>
        </w:rPr>
        <w:t>Les accompagnants des élèves en situation de handicap bénéficient d</w:t>
      </w:r>
      <w:r w:rsidRPr="00A86354" w:rsidR="0006032C">
        <w:rPr>
          <w:rFonts w:ascii="Arial" w:hAnsi="Arial" w:cs="Arial"/>
          <w:sz w:val="20"/>
          <w:szCs w:val="20"/>
          <w:lang w:val="fr-FR"/>
        </w:rPr>
        <w:t>’</w:t>
      </w:r>
      <w:r w:rsidRPr="00A86354">
        <w:rPr>
          <w:rFonts w:ascii="Arial" w:hAnsi="Arial" w:cs="Arial"/>
          <w:sz w:val="20"/>
          <w:szCs w:val="20"/>
          <w:lang w:val="fr-FR"/>
        </w:rPr>
        <w:t>une formation spécifique pour l</w:t>
      </w:r>
      <w:r w:rsidRPr="00A86354" w:rsidR="0006032C">
        <w:rPr>
          <w:rFonts w:ascii="Arial" w:hAnsi="Arial" w:cs="Arial"/>
          <w:sz w:val="20"/>
          <w:szCs w:val="20"/>
          <w:lang w:val="fr-FR"/>
        </w:rPr>
        <w:t>’</w:t>
      </w:r>
      <w:r w:rsidRPr="00A86354">
        <w:rPr>
          <w:rFonts w:ascii="Arial" w:hAnsi="Arial" w:cs="Arial"/>
          <w:sz w:val="20"/>
          <w:szCs w:val="20"/>
          <w:lang w:val="fr-FR"/>
        </w:rPr>
        <w:t>accomplissement de leurs fonctions, mise en œuvre en collaboration avec les associations d</w:t>
      </w:r>
      <w:r w:rsidRPr="00A86354" w:rsidR="0006032C">
        <w:rPr>
          <w:rFonts w:ascii="Arial" w:hAnsi="Arial" w:cs="Arial"/>
          <w:sz w:val="20"/>
          <w:szCs w:val="20"/>
          <w:lang w:val="fr-FR"/>
        </w:rPr>
        <w:t>’</w:t>
      </w:r>
      <w:r w:rsidRPr="00A86354">
        <w:rPr>
          <w:rFonts w:ascii="Arial" w:hAnsi="Arial" w:cs="Arial"/>
          <w:sz w:val="20"/>
          <w:szCs w:val="20"/>
          <w:lang w:val="fr-FR"/>
        </w:rPr>
        <w:t>aide aux familles d</w:t>
      </w:r>
      <w:r w:rsidRPr="00A86354" w:rsidR="0006032C">
        <w:rPr>
          <w:rFonts w:ascii="Arial" w:hAnsi="Arial" w:cs="Arial"/>
          <w:sz w:val="20"/>
          <w:szCs w:val="20"/>
          <w:lang w:val="fr-FR"/>
        </w:rPr>
        <w:t>’</w:t>
      </w:r>
      <w:r w:rsidRPr="00A86354">
        <w:rPr>
          <w:rFonts w:ascii="Arial" w:hAnsi="Arial" w:cs="Arial"/>
          <w:sz w:val="20"/>
          <w:szCs w:val="20"/>
          <w:lang w:val="fr-FR"/>
        </w:rPr>
        <w:t xml:space="preserve">enfants en situation de handicap. </w:t>
      </w:r>
      <w:r w:rsidRPr="00A86354" w:rsidR="002C5D46">
        <w:rPr>
          <w:rFonts w:ascii="Arial" w:hAnsi="Arial" w:cs="Arial"/>
          <w:sz w:val="20"/>
          <w:szCs w:val="20"/>
          <w:lang w:val="fr-FR"/>
        </w:rPr>
        <w:t>[...]</w:t>
      </w:r>
      <w:r w:rsidRPr="00A86354">
        <w:rPr>
          <w:rFonts w:ascii="Arial" w:hAnsi="Arial" w:cs="Arial"/>
          <w:sz w:val="20"/>
          <w:szCs w:val="20"/>
          <w:lang w:val="fr-FR"/>
        </w:rPr>
        <w:t xml:space="preserve"> Leur formation professionnelle continue est fixée conformément à un référentiel national et adaptée à la diversité des situations des élèves accueillis dans les écoles et établissements d</w:t>
      </w:r>
      <w:r w:rsidRPr="00A86354" w:rsidR="0006032C">
        <w:rPr>
          <w:rFonts w:ascii="Arial" w:hAnsi="Arial" w:cs="Arial"/>
          <w:sz w:val="20"/>
          <w:szCs w:val="20"/>
          <w:lang w:val="fr-FR"/>
        </w:rPr>
        <w:t>’</w:t>
      </w:r>
      <w:r w:rsidRPr="00A86354">
        <w:rPr>
          <w:rFonts w:ascii="Arial" w:hAnsi="Arial" w:cs="Arial"/>
          <w:sz w:val="20"/>
          <w:szCs w:val="20"/>
          <w:lang w:val="fr-FR"/>
        </w:rPr>
        <w:t>enseignement. Un arrêté du ministre chargé de l</w:t>
      </w:r>
      <w:r w:rsidRPr="00A86354" w:rsidR="0006032C">
        <w:rPr>
          <w:rFonts w:ascii="Arial" w:hAnsi="Arial" w:cs="Arial"/>
          <w:sz w:val="20"/>
          <w:szCs w:val="20"/>
          <w:lang w:val="fr-FR"/>
        </w:rPr>
        <w:t>’</w:t>
      </w:r>
      <w:r w:rsidRPr="00A86354">
        <w:rPr>
          <w:rFonts w:ascii="Arial" w:hAnsi="Arial" w:cs="Arial"/>
          <w:sz w:val="20"/>
          <w:szCs w:val="20"/>
          <w:lang w:val="fr-FR"/>
        </w:rPr>
        <w:t>éducation nationale précise le cahier des charges des contenus de la formation continue spécifique concernant la prise en charge des enfants en situation de handicap.</w:t>
      </w:r>
    </w:p>
    <w:p w:rsidRPr="00A86354" w:rsidR="00EB2954" w:rsidP="00A86354" w:rsidRDefault="00EB2954" w14:paraId="7EC578A2" w14:textId="77777777">
      <w:pPr>
        <w:ind w:left="709"/>
        <w:rPr>
          <w:rFonts w:ascii="Arial" w:hAnsi="Arial" w:cs="Arial"/>
          <w:sz w:val="20"/>
          <w:szCs w:val="20"/>
          <w:lang w:val="fr-FR"/>
        </w:rPr>
      </w:pPr>
    </w:p>
    <w:p w:rsidRPr="00A86354" w:rsidR="00EB2954" w:rsidP="00A86354" w:rsidRDefault="00EB2954" w14:paraId="78B1C7E6" w14:textId="22E5A608">
      <w:pPr>
        <w:ind w:left="709"/>
        <w:rPr>
          <w:rFonts w:ascii="Arial" w:hAnsi="Arial" w:cs="Arial"/>
          <w:sz w:val="20"/>
          <w:szCs w:val="20"/>
          <w:lang w:val="fr-FR"/>
        </w:rPr>
      </w:pPr>
      <w:r w:rsidRPr="00A86354">
        <w:rPr>
          <w:rFonts w:ascii="Arial" w:hAnsi="Arial" w:cs="Arial"/>
          <w:sz w:val="20"/>
          <w:szCs w:val="20"/>
          <w:lang w:val="fr-FR"/>
        </w:rPr>
        <w:t>Ils sont recrutés par contrat d</w:t>
      </w:r>
      <w:r w:rsidRPr="00A86354" w:rsidR="0006032C">
        <w:rPr>
          <w:rFonts w:ascii="Arial" w:hAnsi="Arial" w:cs="Arial"/>
          <w:sz w:val="20"/>
          <w:szCs w:val="20"/>
          <w:lang w:val="fr-FR"/>
        </w:rPr>
        <w:t>’</w:t>
      </w:r>
      <w:r w:rsidRPr="00A86354">
        <w:rPr>
          <w:rFonts w:ascii="Arial" w:hAnsi="Arial" w:cs="Arial"/>
          <w:sz w:val="20"/>
          <w:szCs w:val="20"/>
          <w:lang w:val="fr-FR"/>
        </w:rPr>
        <w:t>une durée de trois ans, renouvelable une fois. Lorsque l</w:t>
      </w:r>
      <w:r w:rsidRPr="00A86354" w:rsidR="0006032C">
        <w:rPr>
          <w:rFonts w:ascii="Arial" w:hAnsi="Arial" w:cs="Arial"/>
          <w:sz w:val="20"/>
          <w:szCs w:val="20"/>
          <w:lang w:val="fr-FR"/>
        </w:rPr>
        <w:t>’</w:t>
      </w:r>
      <w:r w:rsidRPr="00A86354">
        <w:rPr>
          <w:rFonts w:ascii="Arial" w:hAnsi="Arial" w:cs="Arial"/>
          <w:sz w:val="20"/>
          <w:szCs w:val="20"/>
          <w:lang w:val="fr-FR"/>
        </w:rPr>
        <w:t>Etat conclut un nouveau contrat avec une personne ayant exercé pendant six ans en qualité d</w:t>
      </w:r>
      <w:r w:rsidRPr="00A86354" w:rsidR="0006032C">
        <w:rPr>
          <w:rFonts w:ascii="Arial" w:hAnsi="Arial" w:cs="Arial"/>
          <w:sz w:val="20"/>
          <w:szCs w:val="20"/>
          <w:lang w:val="fr-FR"/>
        </w:rPr>
        <w:t>’</w:t>
      </w:r>
      <w:r w:rsidRPr="00A86354">
        <w:rPr>
          <w:rFonts w:ascii="Arial" w:hAnsi="Arial" w:cs="Arial"/>
          <w:sz w:val="20"/>
          <w:szCs w:val="20"/>
          <w:lang w:val="fr-FR"/>
        </w:rPr>
        <w:t>accompagnant des élèves en situation de handicap en vue de poursuivre ces missions le contrat est à durée indéterminée. Pour l</w:t>
      </w:r>
      <w:r w:rsidRPr="00A86354" w:rsidR="0006032C">
        <w:rPr>
          <w:rFonts w:ascii="Arial" w:hAnsi="Arial" w:cs="Arial"/>
          <w:sz w:val="20"/>
          <w:szCs w:val="20"/>
          <w:lang w:val="fr-FR"/>
        </w:rPr>
        <w:t>’</w:t>
      </w:r>
      <w:r w:rsidRPr="00A86354">
        <w:rPr>
          <w:rFonts w:ascii="Arial" w:hAnsi="Arial" w:cs="Arial"/>
          <w:sz w:val="20"/>
          <w:szCs w:val="20"/>
          <w:lang w:val="fr-FR"/>
        </w:rPr>
        <w:t>appréciation de la durée des six ans, les services accomplis à temps incomplet et à temps partiel sont assimilés à des services à temps complet. Les services accomplis de manière discontinue sont pris en compte, sous réserve que la durée des interruptions n</w:t>
      </w:r>
      <w:r w:rsidRPr="00A86354" w:rsidR="0006032C">
        <w:rPr>
          <w:rFonts w:ascii="Arial" w:hAnsi="Arial" w:cs="Arial"/>
          <w:sz w:val="20"/>
          <w:szCs w:val="20"/>
          <w:lang w:val="fr-FR"/>
        </w:rPr>
        <w:t>’</w:t>
      </w:r>
      <w:r w:rsidRPr="00A86354">
        <w:rPr>
          <w:rFonts w:ascii="Arial" w:hAnsi="Arial" w:cs="Arial"/>
          <w:sz w:val="20"/>
          <w:szCs w:val="20"/>
          <w:lang w:val="fr-FR"/>
        </w:rPr>
        <w:t>excède pas quatre mois.</w:t>
      </w:r>
    </w:p>
    <w:p w:rsidRPr="00A86354" w:rsidR="00066225" w:rsidP="00A86354" w:rsidRDefault="00066225" w14:paraId="5F1F4756" w14:textId="77777777">
      <w:pPr>
        <w:ind w:left="709"/>
        <w:rPr>
          <w:rFonts w:ascii="Arial" w:hAnsi="Arial" w:cs="Arial"/>
          <w:sz w:val="20"/>
          <w:szCs w:val="20"/>
          <w:lang w:val="fr-FR"/>
        </w:rPr>
      </w:pPr>
    </w:p>
    <w:p w:rsidRPr="00A86354" w:rsidR="00EB2954" w:rsidP="00A86354" w:rsidRDefault="002C5D46" w14:paraId="574EB5DE" w14:textId="6E6565B9">
      <w:pPr>
        <w:ind w:left="709"/>
        <w:rPr>
          <w:rFonts w:ascii="Arial" w:hAnsi="Arial" w:cs="Arial"/>
          <w:sz w:val="20"/>
          <w:szCs w:val="20"/>
          <w:lang w:val="fr-FR"/>
        </w:rPr>
      </w:pPr>
      <w:r w:rsidRPr="00A86354">
        <w:rPr>
          <w:rFonts w:ascii="Arial" w:hAnsi="Arial" w:cs="Arial"/>
          <w:sz w:val="20"/>
          <w:szCs w:val="20"/>
          <w:lang w:val="fr-FR"/>
        </w:rPr>
        <w:t>[...]</w:t>
      </w:r>
      <w:r w:rsidRPr="00A86354" w:rsidR="000807D5">
        <w:rPr>
          <w:rFonts w:ascii="Arial" w:hAnsi="Arial" w:cs="Arial"/>
          <w:sz w:val="20"/>
          <w:szCs w:val="20"/>
          <w:lang w:val="fr-FR"/>
        </w:rPr>
        <w:t> »</w:t>
      </w:r>
    </w:p>
    <w:p w:rsidRPr="00A86354" w:rsidR="00394CAB" w:rsidP="00EB2954" w:rsidRDefault="00394CAB" w14:paraId="5F745DB8" w14:textId="77777777">
      <w:pPr>
        <w:rPr>
          <w:rFonts w:ascii="Arial" w:hAnsi="Arial" w:cs="Arial"/>
          <w:lang w:val="fr-FR"/>
        </w:rPr>
      </w:pPr>
    </w:p>
    <w:p w:rsidRPr="00A86354" w:rsidR="00394CAB" w:rsidP="00CE016A" w:rsidRDefault="00394CAB" w14:paraId="0103292A" w14:textId="268C5E5B">
      <w:pPr>
        <w:pStyle w:val="ListParagraph"/>
        <w:numPr>
          <w:ilvl w:val="0"/>
          <w:numId w:val="1"/>
        </w:numPr>
        <w:ind w:left="0" w:firstLine="0"/>
        <w:rPr>
          <w:rFonts w:cs="Arial"/>
          <w:lang w:val="fr-FR"/>
        </w:rPr>
      </w:pPr>
      <w:r w:rsidRPr="00A86354">
        <w:rPr>
          <w:rFonts w:cs="Arial"/>
          <w:lang w:val="fr-FR"/>
        </w:rPr>
        <w:t xml:space="preserve">La Commission des Droits de l'Autonomie des Personnes Handicapées (CDAPH), créée par la loi de 2005 et mise en place au sein de chaque MDPH, est chargée de prendre les décisions relatives à l'attribution des prestations et à l'orientation des personnes handicapées, ainsi qu'aux mesures visant à assurer leur intégration scolaire, notamment l'attribution d'une aide AESH pour l'intégration scolaire des élèves handicapés. La décision de la CDAPH, suite à une demande d'aide humaine faite par la famille de l'élève auprès de la MDPH concernée, contient une appréciation sur le fait que l'état ou le degré de handicap de l'élève justifie ou non l'attribution d'une aide AESH pour l'intégration scolaire et est notifiée à la famille de l'élève. Une fois cette </w:t>
      </w:r>
      <w:r w:rsidRPr="00A86354" w:rsidR="00687821">
        <w:rPr>
          <w:rFonts w:cs="Arial"/>
          <w:lang w:val="fr-FR"/>
        </w:rPr>
        <w:t>« </w:t>
      </w:r>
      <w:r w:rsidRPr="00A86354">
        <w:rPr>
          <w:rFonts w:cs="Arial"/>
          <w:lang w:val="fr-FR"/>
        </w:rPr>
        <w:t>notification</w:t>
      </w:r>
      <w:r w:rsidRPr="00A86354" w:rsidR="00687821">
        <w:rPr>
          <w:rFonts w:cs="Arial"/>
          <w:lang w:val="fr-FR"/>
        </w:rPr>
        <w:t> »</w:t>
      </w:r>
      <w:r w:rsidRPr="00A86354">
        <w:rPr>
          <w:rFonts w:cs="Arial"/>
          <w:lang w:val="fr-FR"/>
        </w:rPr>
        <w:t xml:space="preserve"> reçue, la personne handicapée a officiellement le droit de bénéficier de l'aide en question. Les décisions de la commission s'imposent à tous les établissements et services (article L241-6 du code de l'action sociale et des familles).</w:t>
      </w:r>
    </w:p>
    <w:p w:rsidRPr="00A86354" w:rsidR="00394CAB" w:rsidP="00EB2954" w:rsidRDefault="00394CAB" w14:paraId="5DF3BD1F" w14:textId="77777777">
      <w:pPr>
        <w:rPr>
          <w:rFonts w:ascii="Arial" w:hAnsi="Arial" w:cs="Arial"/>
          <w:lang w:val="fr-FR"/>
        </w:rPr>
      </w:pPr>
    </w:p>
    <w:p w:rsidRPr="00A86354" w:rsidR="00EB2954" w:rsidP="00066225" w:rsidRDefault="00EB2954" w14:paraId="09E66BE0" w14:textId="77777777">
      <w:pPr>
        <w:keepNext/>
        <w:rPr>
          <w:rFonts w:ascii="Arial" w:hAnsi="Arial" w:cs="Arial"/>
          <w:b/>
          <w:bCs/>
          <w:lang w:val="fr-FR"/>
        </w:rPr>
      </w:pPr>
      <w:r w:rsidRPr="00A86354">
        <w:rPr>
          <w:rFonts w:ascii="Arial" w:hAnsi="Arial" w:cs="Arial"/>
          <w:b/>
          <w:bCs/>
          <w:lang w:val="fr-FR"/>
        </w:rPr>
        <w:t>Aide financière</w:t>
      </w:r>
    </w:p>
    <w:p w:rsidRPr="00A86354" w:rsidR="00EB2954" w:rsidP="00066225" w:rsidRDefault="00EB2954" w14:paraId="67C52067" w14:textId="77777777">
      <w:pPr>
        <w:keepNext/>
        <w:rPr>
          <w:rFonts w:ascii="Arial" w:hAnsi="Arial" w:cs="Arial"/>
          <w:lang w:val="fr-FR"/>
        </w:rPr>
      </w:pPr>
    </w:p>
    <w:p w:rsidRPr="00A86354" w:rsidR="00EB2954" w:rsidP="00CE016A" w:rsidRDefault="00715020" w14:paraId="10790552" w14:textId="59D6BBC2">
      <w:pPr>
        <w:pStyle w:val="ListParagraph"/>
        <w:keepNext/>
        <w:numPr>
          <w:ilvl w:val="0"/>
          <w:numId w:val="9"/>
        </w:numPr>
        <w:tabs>
          <w:tab w:val="left" w:pos="709"/>
        </w:tabs>
        <w:ind w:left="0" w:firstLine="0"/>
        <w:rPr>
          <w:rFonts w:cs="Arial"/>
          <w:b/>
          <w:bCs/>
          <w:lang w:val="fr-FR"/>
        </w:rPr>
      </w:pPr>
      <w:r w:rsidRPr="00A86354">
        <w:rPr>
          <w:rFonts w:cs="Arial"/>
          <w:b/>
          <w:bCs/>
          <w:lang w:val="fr-FR"/>
        </w:rPr>
        <w:t xml:space="preserve">Prestation de compensation du handicap </w:t>
      </w:r>
      <w:r w:rsidRPr="00A86354" w:rsidR="00EB2954">
        <w:rPr>
          <w:rFonts w:cs="Arial"/>
          <w:b/>
          <w:bCs/>
          <w:lang w:val="fr-FR"/>
        </w:rPr>
        <w:t>(PCH)</w:t>
      </w:r>
    </w:p>
    <w:p w:rsidRPr="00A86354" w:rsidR="00EB2954" w:rsidP="00066225" w:rsidRDefault="00EB2954" w14:paraId="0DCDDA2F" w14:textId="77777777">
      <w:pPr>
        <w:keepNext/>
        <w:rPr>
          <w:rFonts w:ascii="Arial" w:hAnsi="Arial" w:cs="Arial"/>
          <w:lang w:val="fr-FR"/>
        </w:rPr>
      </w:pPr>
    </w:p>
    <w:p w:rsidRPr="00A86354" w:rsidR="00EB2954" w:rsidP="00CE016A" w:rsidRDefault="00715020" w14:paraId="2D37E3D0" w14:textId="795C98E1">
      <w:pPr>
        <w:pStyle w:val="ListParagraph"/>
        <w:keepNext/>
        <w:numPr>
          <w:ilvl w:val="0"/>
          <w:numId w:val="1"/>
        </w:numPr>
        <w:ind w:left="0" w:firstLine="0"/>
        <w:rPr>
          <w:rFonts w:cs="Arial"/>
          <w:lang w:val="fr-FR"/>
        </w:rPr>
      </w:pPr>
      <w:r w:rsidRPr="00A86354">
        <w:rPr>
          <w:rFonts w:cs="Arial"/>
          <w:lang w:val="fr-FR"/>
        </w:rPr>
        <w:t xml:space="preserve">La PCH est une aide financière versée par le département. Elle permet de rembourser les dépenses liées à </w:t>
      </w:r>
      <w:r w:rsidRPr="00A86354" w:rsidR="00672D57">
        <w:rPr>
          <w:rFonts w:cs="Arial"/>
          <w:lang w:val="fr-FR"/>
        </w:rPr>
        <w:t>la</w:t>
      </w:r>
      <w:r w:rsidRPr="00A86354">
        <w:rPr>
          <w:rFonts w:cs="Arial"/>
          <w:lang w:val="fr-FR"/>
        </w:rPr>
        <w:t xml:space="preserve"> perte d</w:t>
      </w:r>
      <w:r w:rsidRPr="00A86354" w:rsidR="0006032C">
        <w:rPr>
          <w:rFonts w:cs="Arial"/>
          <w:lang w:val="fr-FR"/>
        </w:rPr>
        <w:t>’</w:t>
      </w:r>
      <w:r w:rsidRPr="00A86354">
        <w:rPr>
          <w:rFonts w:cs="Arial"/>
          <w:lang w:val="fr-FR"/>
        </w:rPr>
        <w:t>autonomie. La PCH comprend 5 formes d</w:t>
      </w:r>
      <w:r w:rsidRPr="00A86354" w:rsidR="0006032C">
        <w:rPr>
          <w:rFonts w:cs="Arial"/>
          <w:lang w:val="fr-FR"/>
        </w:rPr>
        <w:t>’</w:t>
      </w:r>
      <w:r w:rsidRPr="00A86354">
        <w:rPr>
          <w:rFonts w:cs="Arial"/>
          <w:lang w:val="fr-FR"/>
        </w:rPr>
        <w:t>aides (humaine, technique, aménagement du logement, transport, aide spécifique ou exceptionnelle, animalière). Son attribution dépend d</w:t>
      </w:r>
      <w:r w:rsidRPr="00A86354" w:rsidR="00672D57">
        <w:rPr>
          <w:rFonts w:cs="Arial"/>
          <w:lang w:val="fr-FR"/>
        </w:rPr>
        <w:t>u</w:t>
      </w:r>
      <w:r w:rsidRPr="00A86354">
        <w:rPr>
          <w:rFonts w:cs="Arial"/>
          <w:lang w:val="fr-FR"/>
        </w:rPr>
        <w:t xml:space="preserve"> degré d</w:t>
      </w:r>
      <w:r w:rsidRPr="00A86354" w:rsidR="0006032C">
        <w:rPr>
          <w:rFonts w:cs="Arial"/>
          <w:lang w:val="fr-FR"/>
        </w:rPr>
        <w:t>’</w:t>
      </w:r>
      <w:r w:rsidRPr="00A86354">
        <w:rPr>
          <w:rFonts w:cs="Arial"/>
          <w:lang w:val="fr-FR"/>
        </w:rPr>
        <w:t xml:space="preserve">autonomie, de </w:t>
      </w:r>
      <w:r w:rsidRPr="00A86354" w:rsidR="00672D57">
        <w:rPr>
          <w:rFonts w:cs="Arial"/>
          <w:lang w:val="fr-FR"/>
        </w:rPr>
        <w:t>l’</w:t>
      </w:r>
      <w:r w:rsidRPr="00A86354">
        <w:rPr>
          <w:rFonts w:cs="Arial"/>
          <w:lang w:val="fr-FR"/>
        </w:rPr>
        <w:t>âge, de</w:t>
      </w:r>
      <w:r w:rsidRPr="00A86354" w:rsidR="00672D57">
        <w:rPr>
          <w:rFonts w:cs="Arial"/>
          <w:lang w:val="fr-FR"/>
        </w:rPr>
        <w:t>s</w:t>
      </w:r>
      <w:r w:rsidRPr="00A86354">
        <w:rPr>
          <w:rFonts w:cs="Arial"/>
          <w:lang w:val="fr-FR"/>
        </w:rPr>
        <w:t xml:space="preserve"> ressources et de </w:t>
      </w:r>
      <w:r w:rsidRPr="00A86354" w:rsidR="00672D57">
        <w:rPr>
          <w:rFonts w:cs="Arial"/>
          <w:lang w:val="fr-FR"/>
        </w:rPr>
        <w:t xml:space="preserve">la </w:t>
      </w:r>
      <w:r w:rsidRPr="00A86354">
        <w:rPr>
          <w:rFonts w:cs="Arial"/>
          <w:lang w:val="fr-FR"/>
        </w:rPr>
        <w:t xml:space="preserve">résidence. La PCH est attribuée à vie si </w:t>
      </w:r>
      <w:r w:rsidRPr="00A86354" w:rsidR="00672D57">
        <w:rPr>
          <w:rFonts w:cs="Arial"/>
          <w:lang w:val="fr-FR"/>
        </w:rPr>
        <w:t>l’</w:t>
      </w:r>
      <w:r w:rsidRPr="00A86354">
        <w:rPr>
          <w:rFonts w:cs="Arial"/>
          <w:lang w:val="fr-FR"/>
        </w:rPr>
        <w:t>état de santé ne peut pas s</w:t>
      </w:r>
      <w:r w:rsidRPr="00A86354" w:rsidR="0006032C">
        <w:rPr>
          <w:rFonts w:cs="Arial"/>
          <w:lang w:val="fr-FR"/>
        </w:rPr>
        <w:t>’</w:t>
      </w:r>
      <w:r w:rsidRPr="00A86354">
        <w:rPr>
          <w:rFonts w:cs="Arial"/>
          <w:lang w:val="fr-FR"/>
        </w:rPr>
        <w:t>améliorer</w:t>
      </w:r>
      <w:r w:rsidRPr="00A86354" w:rsidR="00EB2954">
        <w:rPr>
          <w:rFonts w:cs="Arial"/>
          <w:lang w:val="fr-FR"/>
        </w:rPr>
        <w:t>.</w:t>
      </w:r>
    </w:p>
    <w:p w:rsidRPr="00A86354" w:rsidR="00EB2954" w:rsidP="00EB2954" w:rsidRDefault="00EB2954" w14:paraId="542B78E1" w14:textId="77777777">
      <w:pPr>
        <w:rPr>
          <w:rFonts w:ascii="Arial" w:hAnsi="Arial" w:cs="Arial"/>
          <w:lang w:val="fr-FR"/>
        </w:rPr>
      </w:pPr>
    </w:p>
    <w:p w:rsidRPr="00A86354" w:rsidR="00EB2954" w:rsidP="00CE016A" w:rsidRDefault="00715020" w14:paraId="22C9332C" w14:textId="52921C13">
      <w:pPr>
        <w:pStyle w:val="ListParagraph"/>
        <w:numPr>
          <w:ilvl w:val="0"/>
          <w:numId w:val="1"/>
        </w:numPr>
        <w:ind w:left="0" w:firstLine="0"/>
        <w:rPr>
          <w:rFonts w:cs="Arial"/>
          <w:lang w:val="fr-FR"/>
        </w:rPr>
      </w:pPr>
      <w:r w:rsidRPr="00A86354">
        <w:rPr>
          <w:rFonts w:cs="Arial"/>
          <w:lang w:val="fr-FR"/>
        </w:rPr>
        <w:t>L</w:t>
      </w:r>
      <w:r w:rsidRPr="00A86354" w:rsidR="0006032C">
        <w:rPr>
          <w:rFonts w:cs="Arial"/>
          <w:lang w:val="fr-FR"/>
        </w:rPr>
        <w:t>’</w:t>
      </w:r>
      <w:r w:rsidRPr="00A86354">
        <w:rPr>
          <w:rFonts w:cs="Arial"/>
          <w:lang w:val="fr-FR"/>
        </w:rPr>
        <w:t xml:space="preserve">attribution de la PCH est décidée par la </w:t>
      </w:r>
      <w:r w:rsidRPr="00A86354" w:rsidR="006F1C2D">
        <w:rPr>
          <w:rFonts w:cs="Arial"/>
          <w:lang w:val="fr-FR"/>
        </w:rPr>
        <w:t>c</w:t>
      </w:r>
      <w:r w:rsidRPr="00A86354">
        <w:rPr>
          <w:rFonts w:cs="Arial"/>
          <w:lang w:val="fr-FR"/>
        </w:rPr>
        <w:t>ommission des droits et de l</w:t>
      </w:r>
      <w:r w:rsidRPr="00A86354" w:rsidR="0006032C">
        <w:rPr>
          <w:rFonts w:cs="Arial"/>
          <w:lang w:val="fr-FR"/>
        </w:rPr>
        <w:t>’</w:t>
      </w:r>
      <w:r w:rsidRPr="00A86354">
        <w:rPr>
          <w:rFonts w:cs="Arial"/>
          <w:lang w:val="fr-FR"/>
        </w:rPr>
        <w:t>autonomie des personnes handicapées sur proposition de la MDPH compétente</w:t>
      </w:r>
      <w:r w:rsidRPr="00A86354" w:rsidR="00EB2954">
        <w:rPr>
          <w:rFonts w:cs="Arial"/>
          <w:lang w:val="fr-FR"/>
        </w:rPr>
        <w:t xml:space="preserve">. </w:t>
      </w:r>
      <w:r w:rsidRPr="00A86354">
        <w:rPr>
          <w:rFonts w:cs="Arial"/>
          <w:lang w:val="fr-FR"/>
        </w:rPr>
        <w:t xml:space="preserve">La </w:t>
      </w:r>
      <w:r w:rsidRPr="00A86354" w:rsidR="00EB2954">
        <w:rPr>
          <w:rFonts w:cs="Arial"/>
          <w:lang w:val="fr-FR"/>
        </w:rPr>
        <w:t xml:space="preserve">PCH </w:t>
      </w:r>
      <w:r w:rsidRPr="00A86354">
        <w:rPr>
          <w:rFonts w:cs="Arial"/>
          <w:lang w:val="fr-FR"/>
        </w:rPr>
        <w:t>est régie par les a</w:t>
      </w:r>
      <w:r w:rsidRPr="00A86354" w:rsidR="00EB2954">
        <w:rPr>
          <w:rFonts w:cs="Arial"/>
          <w:lang w:val="fr-FR"/>
        </w:rPr>
        <w:t xml:space="preserve">rticles L245-1 </w:t>
      </w:r>
      <w:r w:rsidRPr="00A86354">
        <w:rPr>
          <w:rFonts w:cs="Arial"/>
          <w:lang w:val="fr-FR"/>
        </w:rPr>
        <w:t>à</w:t>
      </w:r>
      <w:r w:rsidRPr="00A86354" w:rsidR="00EB2954">
        <w:rPr>
          <w:rFonts w:cs="Arial"/>
          <w:lang w:val="fr-FR"/>
        </w:rPr>
        <w:t xml:space="preserve"> 14 </w:t>
      </w:r>
      <w:r w:rsidRPr="00A86354">
        <w:rPr>
          <w:rFonts w:cs="Arial"/>
          <w:lang w:val="fr-FR"/>
        </w:rPr>
        <w:t>du code de l</w:t>
      </w:r>
      <w:r w:rsidRPr="00A86354" w:rsidR="0006032C">
        <w:rPr>
          <w:rFonts w:cs="Arial"/>
          <w:lang w:val="fr-FR"/>
        </w:rPr>
        <w:t>’</w:t>
      </w:r>
      <w:r w:rsidRPr="00A86354">
        <w:rPr>
          <w:rFonts w:cs="Arial"/>
          <w:lang w:val="fr-FR"/>
        </w:rPr>
        <w:t>action sociale et des familles</w:t>
      </w:r>
      <w:r w:rsidRPr="00A86354" w:rsidR="00EB2954">
        <w:rPr>
          <w:rFonts w:cs="Arial"/>
          <w:lang w:val="fr-FR"/>
        </w:rPr>
        <w:t xml:space="preserve">. </w:t>
      </w:r>
    </w:p>
    <w:p w:rsidRPr="00A86354" w:rsidR="00EB2954" w:rsidP="00EB2954" w:rsidRDefault="00EB2954" w14:paraId="1BBCD3E3" w14:textId="77777777">
      <w:pPr>
        <w:pStyle w:val="ListParagraph"/>
        <w:ind w:left="360"/>
        <w:rPr>
          <w:rFonts w:cs="Arial"/>
          <w:lang w:val="fr-FR"/>
        </w:rPr>
      </w:pPr>
    </w:p>
    <w:p w:rsidRPr="00A86354" w:rsidR="00EB2954" w:rsidP="00CE016A" w:rsidRDefault="00EB2954" w14:paraId="36196815" w14:textId="4052E5F7">
      <w:pPr>
        <w:pStyle w:val="ListParagraph"/>
        <w:numPr>
          <w:ilvl w:val="0"/>
          <w:numId w:val="1"/>
        </w:numPr>
        <w:ind w:left="0" w:firstLine="0"/>
        <w:rPr>
          <w:rFonts w:cs="Arial"/>
          <w:lang w:val="fr-FR"/>
        </w:rPr>
      </w:pPr>
      <w:r w:rsidRPr="00A86354">
        <w:rPr>
          <w:rFonts w:cs="Arial"/>
          <w:lang w:val="fr-FR"/>
        </w:rPr>
        <w:t>L</w:t>
      </w:r>
      <w:r w:rsidRPr="00A86354" w:rsidR="0006032C">
        <w:rPr>
          <w:rFonts w:cs="Arial"/>
          <w:lang w:val="fr-FR"/>
        </w:rPr>
        <w:t>’</w:t>
      </w:r>
      <w:r w:rsidRPr="00A86354">
        <w:rPr>
          <w:rFonts w:cs="Arial"/>
          <w:lang w:val="fr-FR"/>
        </w:rPr>
        <w:t>annexe 2-5 du code de l</w:t>
      </w:r>
      <w:r w:rsidRPr="00A86354" w:rsidR="0006032C">
        <w:rPr>
          <w:rFonts w:cs="Arial"/>
          <w:lang w:val="fr-FR"/>
        </w:rPr>
        <w:t>’</w:t>
      </w:r>
      <w:r w:rsidRPr="00A86354">
        <w:rPr>
          <w:rFonts w:cs="Arial"/>
          <w:lang w:val="fr-FR"/>
        </w:rPr>
        <w:t>action sociale et des familles prévoit et précise le référentiel pour l</w:t>
      </w:r>
      <w:r w:rsidRPr="00A86354" w:rsidR="0006032C">
        <w:rPr>
          <w:rFonts w:cs="Arial"/>
          <w:lang w:val="fr-FR"/>
        </w:rPr>
        <w:t>’</w:t>
      </w:r>
      <w:r w:rsidRPr="00A86354">
        <w:rPr>
          <w:rFonts w:cs="Arial"/>
          <w:lang w:val="fr-FR"/>
        </w:rPr>
        <w:t xml:space="preserve">accès à la prestation de compensation. </w:t>
      </w:r>
    </w:p>
    <w:p w:rsidRPr="00A86354" w:rsidR="00EB2954" w:rsidP="00EB2954" w:rsidRDefault="00EB2954" w14:paraId="07BAC573" w14:textId="77777777">
      <w:pPr>
        <w:rPr>
          <w:rFonts w:ascii="Arial" w:hAnsi="Arial" w:cs="Arial"/>
          <w:lang w:val="fr-FR"/>
        </w:rPr>
      </w:pPr>
    </w:p>
    <w:p w:rsidRPr="00A86354" w:rsidR="00EB2954" w:rsidP="00A86354" w:rsidRDefault="00EB2954" w14:paraId="23357BC2" w14:textId="77777777">
      <w:pPr>
        <w:ind w:left="709"/>
        <w:rPr>
          <w:rFonts w:ascii="Arial" w:hAnsi="Arial" w:cs="Arial"/>
          <w:b/>
          <w:bCs/>
          <w:sz w:val="20"/>
          <w:szCs w:val="20"/>
          <w:lang w:val="fr-FR"/>
        </w:rPr>
      </w:pPr>
      <w:r w:rsidRPr="00A86354">
        <w:rPr>
          <w:rFonts w:ascii="Arial" w:hAnsi="Arial" w:cs="Arial"/>
          <w:b/>
          <w:bCs/>
          <w:sz w:val="20"/>
          <w:szCs w:val="20"/>
          <w:lang w:val="fr-FR"/>
        </w:rPr>
        <w:t>Article L245-1</w:t>
      </w:r>
    </w:p>
    <w:p w:rsidRPr="00A86354" w:rsidR="00EB2954" w:rsidP="00A86354" w:rsidRDefault="00EB2954" w14:paraId="55D9970B" w14:textId="77777777">
      <w:pPr>
        <w:ind w:left="709"/>
        <w:rPr>
          <w:rFonts w:ascii="Arial" w:hAnsi="Arial" w:cs="Arial"/>
          <w:sz w:val="20"/>
          <w:szCs w:val="20"/>
          <w:lang w:val="fr-FR"/>
        </w:rPr>
      </w:pPr>
    </w:p>
    <w:p w:rsidRPr="00A86354" w:rsidR="00EB2954" w:rsidP="00A86354" w:rsidRDefault="00EB2954" w14:paraId="17846B79" w14:textId="2E189735">
      <w:pPr>
        <w:ind w:left="709"/>
        <w:rPr>
          <w:rFonts w:ascii="Arial" w:hAnsi="Arial" w:cs="Arial"/>
          <w:sz w:val="20"/>
          <w:szCs w:val="20"/>
          <w:lang w:val="fr-FR"/>
        </w:rPr>
      </w:pPr>
      <w:r w:rsidRPr="00A86354">
        <w:rPr>
          <w:rFonts w:ascii="Arial" w:hAnsi="Arial" w:cs="Arial"/>
          <w:sz w:val="20"/>
          <w:szCs w:val="20"/>
          <w:lang w:val="fr-FR"/>
        </w:rPr>
        <w:t>I. - Toute personne handicapée  résidant de façon stable et régulière en France métropolitaine, dans les collectivités mentionnées à l</w:t>
      </w:r>
      <w:r w:rsidRPr="00A86354" w:rsidR="0006032C">
        <w:rPr>
          <w:rFonts w:ascii="Arial" w:hAnsi="Arial" w:cs="Arial"/>
          <w:sz w:val="20"/>
          <w:szCs w:val="20"/>
          <w:lang w:val="fr-FR"/>
        </w:rPr>
        <w:t>’</w:t>
      </w:r>
      <w:r w:rsidRPr="00A86354">
        <w:rPr>
          <w:rFonts w:ascii="Arial" w:hAnsi="Arial" w:cs="Arial"/>
          <w:sz w:val="20"/>
          <w:szCs w:val="20"/>
          <w:lang w:val="fr-FR"/>
        </w:rPr>
        <w:t>article L. 751-1 du code de la sécurité sociale ou à Saint-Pierre-et-Miquelon, dont l</w:t>
      </w:r>
      <w:r w:rsidRPr="00A86354" w:rsidR="0006032C">
        <w:rPr>
          <w:rFonts w:ascii="Arial" w:hAnsi="Arial" w:cs="Arial"/>
          <w:sz w:val="20"/>
          <w:szCs w:val="20"/>
          <w:lang w:val="fr-FR"/>
        </w:rPr>
        <w:t>’</w:t>
      </w:r>
      <w:r w:rsidRPr="00A86354">
        <w:rPr>
          <w:rFonts w:ascii="Arial" w:hAnsi="Arial" w:cs="Arial"/>
          <w:sz w:val="20"/>
          <w:szCs w:val="20"/>
          <w:lang w:val="fr-FR"/>
        </w:rPr>
        <w:t>âge est inférieur à une limite fixée par décret et dont le handicap répond à des critères définis par décret prenant notamment en compte la nature et l</w:t>
      </w:r>
      <w:r w:rsidRPr="00A86354" w:rsidR="0006032C">
        <w:rPr>
          <w:rFonts w:ascii="Arial" w:hAnsi="Arial" w:cs="Arial"/>
          <w:sz w:val="20"/>
          <w:szCs w:val="20"/>
          <w:lang w:val="fr-FR"/>
        </w:rPr>
        <w:t>’</w:t>
      </w:r>
      <w:r w:rsidRPr="00A86354">
        <w:rPr>
          <w:rFonts w:ascii="Arial" w:hAnsi="Arial" w:cs="Arial"/>
          <w:sz w:val="20"/>
          <w:szCs w:val="20"/>
          <w:lang w:val="fr-FR"/>
        </w:rPr>
        <w:t>importance des besoins de compensation au regard de son projet de vie, a droit à une prestation de compensation qui a le caractère d</w:t>
      </w:r>
      <w:r w:rsidRPr="00A86354" w:rsidR="0006032C">
        <w:rPr>
          <w:rFonts w:ascii="Arial" w:hAnsi="Arial" w:cs="Arial"/>
          <w:sz w:val="20"/>
          <w:szCs w:val="20"/>
          <w:lang w:val="fr-FR"/>
        </w:rPr>
        <w:t>’</w:t>
      </w:r>
      <w:r w:rsidRPr="00A86354">
        <w:rPr>
          <w:rFonts w:ascii="Arial" w:hAnsi="Arial" w:cs="Arial"/>
          <w:sz w:val="20"/>
          <w:szCs w:val="20"/>
          <w:lang w:val="fr-FR"/>
        </w:rPr>
        <w:t>une prestation en nature qui peut être versée, selon le choix du bénéficiaire, en nature ou en espèces.</w:t>
      </w:r>
    </w:p>
    <w:p w:rsidRPr="00A86354" w:rsidR="00EB2954" w:rsidP="00A86354" w:rsidRDefault="00EB2954" w14:paraId="4E1BB8B4" w14:textId="77777777">
      <w:pPr>
        <w:ind w:left="709"/>
        <w:rPr>
          <w:rFonts w:ascii="Arial" w:hAnsi="Arial" w:cs="Arial"/>
          <w:sz w:val="20"/>
          <w:szCs w:val="20"/>
          <w:lang w:val="fr-FR"/>
        </w:rPr>
      </w:pPr>
    </w:p>
    <w:p w:rsidRPr="00A86354" w:rsidR="00EB2954" w:rsidP="00A86354" w:rsidRDefault="002C5D46" w14:paraId="1889B0A1" w14:textId="65D08F3E">
      <w:pPr>
        <w:ind w:left="709"/>
        <w:rPr>
          <w:rFonts w:ascii="Arial" w:hAnsi="Arial" w:cs="Arial"/>
          <w:sz w:val="20"/>
          <w:szCs w:val="20"/>
          <w:lang w:val="fr-FR"/>
        </w:rPr>
      </w:pPr>
      <w:r w:rsidRPr="00A86354">
        <w:rPr>
          <w:rFonts w:ascii="Arial" w:hAnsi="Arial" w:cs="Arial"/>
          <w:sz w:val="20"/>
          <w:szCs w:val="20"/>
          <w:lang w:val="fr-FR"/>
        </w:rPr>
        <w:t>[...]</w:t>
      </w:r>
    </w:p>
    <w:p w:rsidRPr="00A86354" w:rsidR="00EB2954" w:rsidP="00A86354" w:rsidRDefault="00EB2954" w14:paraId="29295554" w14:textId="77777777">
      <w:pPr>
        <w:ind w:left="709"/>
        <w:rPr>
          <w:rFonts w:ascii="Arial" w:hAnsi="Arial" w:cs="Arial"/>
          <w:b/>
          <w:bCs/>
          <w:sz w:val="20"/>
          <w:szCs w:val="20"/>
          <w:lang w:val="fr-FR"/>
        </w:rPr>
      </w:pPr>
      <w:r w:rsidRPr="00A86354">
        <w:rPr>
          <w:rFonts w:ascii="Arial" w:hAnsi="Arial" w:cs="Arial"/>
          <w:b/>
          <w:bCs/>
          <w:sz w:val="20"/>
          <w:szCs w:val="20"/>
          <w:lang w:val="fr-FR"/>
        </w:rPr>
        <w:lastRenderedPageBreak/>
        <w:t>Article L245-2</w:t>
      </w:r>
    </w:p>
    <w:p w:rsidRPr="00A86354" w:rsidR="00EB2954" w:rsidP="00A86354" w:rsidRDefault="00EB2954" w14:paraId="31BB3A6E" w14:textId="77777777">
      <w:pPr>
        <w:ind w:left="709"/>
        <w:rPr>
          <w:rFonts w:ascii="Arial" w:hAnsi="Arial" w:cs="Arial"/>
          <w:sz w:val="20"/>
          <w:szCs w:val="20"/>
          <w:lang w:val="fr-FR"/>
        </w:rPr>
      </w:pPr>
    </w:p>
    <w:p w:rsidRPr="00A86354" w:rsidR="00EB2954" w:rsidP="00A86354" w:rsidRDefault="002C5D46" w14:paraId="76BD494D" w14:textId="57583661">
      <w:pPr>
        <w:ind w:left="709"/>
        <w:rPr>
          <w:rFonts w:ascii="Arial" w:hAnsi="Arial" w:cs="Arial"/>
          <w:sz w:val="20"/>
          <w:szCs w:val="20"/>
          <w:lang w:val="fr-FR"/>
        </w:rPr>
      </w:pPr>
      <w:r w:rsidRPr="00A86354">
        <w:rPr>
          <w:rFonts w:ascii="Arial" w:hAnsi="Arial" w:cs="Arial"/>
          <w:sz w:val="20"/>
          <w:szCs w:val="20"/>
          <w:lang w:val="fr-FR"/>
        </w:rPr>
        <w:t>[...]</w:t>
      </w:r>
    </w:p>
    <w:p w:rsidRPr="00A86354" w:rsidR="00EB2954" w:rsidP="00A86354" w:rsidRDefault="00EB2954" w14:paraId="56B209C7" w14:textId="77777777">
      <w:pPr>
        <w:ind w:left="709"/>
        <w:rPr>
          <w:rFonts w:ascii="Arial" w:hAnsi="Arial" w:cs="Arial"/>
          <w:sz w:val="20"/>
          <w:szCs w:val="20"/>
          <w:lang w:val="fr-FR"/>
        </w:rPr>
      </w:pPr>
    </w:p>
    <w:p w:rsidRPr="00A86354" w:rsidR="00EB2954" w:rsidP="00A86354" w:rsidRDefault="00EB2954" w14:paraId="072E0C69" w14:textId="1C333E74">
      <w:pPr>
        <w:ind w:left="709"/>
        <w:rPr>
          <w:rFonts w:ascii="Arial" w:hAnsi="Arial" w:cs="Arial"/>
          <w:sz w:val="20"/>
          <w:szCs w:val="20"/>
          <w:lang w:val="fr-FR"/>
        </w:rPr>
      </w:pPr>
      <w:r w:rsidRPr="00A86354">
        <w:rPr>
          <w:rFonts w:ascii="Arial" w:hAnsi="Arial" w:cs="Arial"/>
          <w:sz w:val="20"/>
          <w:szCs w:val="20"/>
          <w:lang w:val="fr-FR"/>
        </w:rPr>
        <w:t>L</w:t>
      </w:r>
      <w:r w:rsidRPr="00A86354" w:rsidR="0006032C">
        <w:rPr>
          <w:rFonts w:ascii="Arial" w:hAnsi="Arial" w:cs="Arial"/>
          <w:sz w:val="20"/>
          <w:szCs w:val="20"/>
          <w:lang w:val="fr-FR"/>
        </w:rPr>
        <w:t>’</w:t>
      </w:r>
      <w:r w:rsidRPr="00A86354">
        <w:rPr>
          <w:rFonts w:ascii="Arial" w:hAnsi="Arial" w:cs="Arial"/>
          <w:sz w:val="20"/>
          <w:szCs w:val="20"/>
          <w:lang w:val="fr-FR"/>
        </w:rPr>
        <w:t>instruction de la demande de prestation de compensation comporte l</w:t>
      </w:r>
      <w:r w:rsidRPr="00A86354" w:rsidR="0006032C">
        <w:rPr>
          <w:rFonts w:ascii="Arial" w:hAnsi="Arial" w:cs="Arial"/>
          <w:sz w:val="20"/>
          <w:szCs w:val="20"/>
          <w:lang w:val="fr-FR"/>
        </w:rPr>
        <w:t>’</w:t>
      </w:r>
      <w:r w:rsidRPr="00A86354">
        <w:rPr>
          <w:rFonts w:ascii="Arial" w:hAnsi="Arial" w:cs="Arial"/>
          <w:sz w:val="20"/>
          <w:szCs w:val="20"/>
          <w:lang w:val="fr-FR"/>
        </w:rPr>
        <w:t>évaluation des besoins de compensation du demandeur et l</w:t>
      </w:r>
      <w:r w:rsidRPr="00A86354" w:rsidR="0006032C">
        <w:rPr>
          <w:rFonts w:ascii="Arial" w:hAnsi="Arial" w:cs="Arial"/>
          <w:sz w:val="20"/>
          <w:szCs w:val="20"/>
          <w:lang w:val="fr-FR"/>
        </w:rPr>
        <w:t>’</w:t>
      </w:r>
      <w:r w:rsidRPr="00A86354">
        <w:rPr>
          <w:rFonts w:ascii="Arial" w:hAnsi="Arial" w:cs="Arial"/>
          <w:sz w:val="20"/>
          <w:szCs w:val="20"/>
          <w:lang w:val="fr-FR"/>
        </w:rPr>
        <w:t>établissement d</w:t>
      </w:r>
      <w:r w:rsidRPr="00A86354" w:rsidR="0006032C">
        <w:rPr>
          <w:rFonts w:ascii="Arial" w:hAnsi="Arial" w:cs="Arial"/>
          <w:sz w:val="20"/>
          <w:szCs w:val="20"/>
          <w:lang w:val="fr-FR"/>
        </w:rPr>
        <w:t>’</w:t>
      </w:r>
      <w:r w:rsidRPr="00A86354">
        <w:rPr>
          <w:rFonts w:ascii="Arial" w:hAnsi="Arial" w:cs="Arial"/>
          <w:sz w:val="20"/>
          <w:szCs w:val="20"/>
          <w:lang w:val="fr-FR"/>
        </w:rPr>
        <w:t>un plan personnalisé de compensation réalisés par l</w:t>
      </w:r>
      <w:r w:rsidRPr="00A86354" w:rsidR="0006032C">
        <w:rPr>
          <w:rFonts w:ascii="Arial" w:hAnsi="Arial" w:cs="Arial"/>
          <w:sz w:val="20"/>
          <w:szCs w:val="20"/>
          <w:lang w:val="fr-FR"/>
        </w:rPr>
        <w:t>’</w:t>
      </w:r>
      <w:r w:rsidRPr="00A86354">
        <w:rPr>
          <w:rFonts w:ascii="Arial" w:hAnsi="Arial" w:cs="Arial"/>
          <w:sz w:val="20"/>
          <w:szCs w:val="20"/>
          <w:lang w:val="fr-FR"/>
        </w:rPr>
        <w:t>équipe pluridisciplinaire </w:t>
      </w:r>
      <w:r w:rsidRPr="00A86354" w:rsidR="002C5D46">
        <w:rPr>
          <w:rFonts w:ascii="Arial" w:hAnsi="Arial" w:cs="Arial"/>
          <w:sz w:val="20"/>
          <w:szCs w:val="20"/>
          <w:lang w:val="fr-FR"/>
        </w:rPr>
        <w:t>[...]</w:t>
      </w:r>
    </w:p>
    <w:p w:rsidRPr="00A86354" w:rsidR="00EB2954" w:rsidP="00A86354" w:rsidRDefault="00EB2954" w14:paraId="0C9EC7F4" w14:textId="77777777">
      <w:pPr>
        <w:ind w:left="709"/>
        <w:rPr>
          <w:rFonts w:ascii="Arial" w:hAnsi="Arial" w:cs="Arial"/>
          <w:lang w:val="fr-FR"/>
        </w:rPr>
      </w:pPr>
    </w:p>
    <w:p w:rsidRPr="00A86354" w:rsidR="00EB2954" w:rsidP="00A86354" w:rsidRDefault="00EB2954" w14:paraId="42698AC5" w14:textId="77777777">
      <w:pPr>
        <w:ind w:left="709"/>
        <w:rPr>
          <w:rFonts w:ascii="Arial" w:hAnsi="Arial" w:cs="Arial"/>
          <w:b/>
          <w:bCs/>
          <w:sz w:val="20"/>
          <w:szCs w:val="20"/>
          <w:lang w:val="fr-FR"/>
        </w:rPr>
      </w:pPr>
      <w:r w:rsidRPr="00A86354">
        <w:rPr>
          <w:rFonts w:ascii="Arial" w:hAnsi="Arial" w:cs="Arial"/>
          <w:b/>
          <w:bCs/>
          <w:sz w:val="20"/>
          <w:szCs w:val="20"/>
          <w:lang w:val="fr-FR"/>
        </w:rPr>
        <w:t>Article L245-3</w:t>
      </w:r>
    </w:p>
    <w:p w:rsidRPr="00A86354" w:rsidR="00EB2954" w:rsidP="00A86354" w:rsidRDefault="00EB2954" w14:paraId="65FD8B12" w14:textId="77777777">
      <w:pPr>
        <w:ind w:left="709"/>
        <w:rPr>
          <w:rFonts w:ascii="Arial" w:hAnsi="Arial" w:cs="Arial"/>
          <w:sz w:val="20"/>
          <w:szCs w:val="20"/>
          <w:lang w:val="fr-FR"/>
        </w:rPr>
      </w:pPr>
    </w:p>
    <w:p w:rsidRPr="00A86354" w:rsidR="00EB2954" w:rsidP="00A86354" w:rsidRDefault="00EB2954" w14:paraId="4ACD13C5" w14:textId="7D248AC1">
      <w:pPr>
        <w:ind w:left="709"/>
        <w:rPr>
          <w:rFonts w:ascii="Arial" w:hAnsi="Arial" w:cs="Arial"/>
          <w:sz w:val="20"/>
          <w:szCs w:val="20"/>
          <w:lang w:val="fr-FR"/>
        </w:rPr>
      </w:pPr>
      <w:r w:rsidRPr="00A86354">
        <w:rPr>
          <w:rFonts w:ascii="Arial" w:hAnsi="Arial" w:cs="Arial"/>
          <w:sz w:val="20"/>
          <w:szCs w:val="20"/>
          <w:lang w:val="fr-FR"/>
        </w:rPr>
        <w:t>La prestation de compensation peut être affectée, dans des conditions définies par décret, à des charges</w:t>
      </w:r>
      <w:r w:rsidRPr="00A86354" w:rsidR="000807D5">
        <w:rPr>
          <w:rFonts w:ascii="Arial" w:hAnsi="Arial" w:cs="Arial"/>
          <w:sz w:val="20"/>
          <w:szCs w:val="20"/>
          <w:lang w:val="fr-FR"/>
        </w:rPr>
        <w:t> :</w:t>
      </w:r>
    </w:p>
    <w:p w:rsidRPr="00A86354" w:rsidR="00EB2954" w:rsidP="00A86354" w:rsidRDefault="00EB2954" w14:paraId="387C4B6D" w14:textId="29CC9F41">
      <w:pPr>
        <w:ind w:left="709"/>
        <w:rPr>
          <w:rFonts w:ascii="Arial" w:hAnsi="Arial" w:cs="Arial"/>
          <w:sz w:val="20"/>
          <w:szCs w:val="20"/>
          <w:lang w:val="fr-FR"/>
        </w:rPr>
      </w:pPr>
      <w:r w:rsidRPr="00A86354">
        <w:rPr>
          <w:rFonts w:ascii="Arial" w:hAnsi="Arial" w:cs="Arial"/>
          <w:sz w:val="20"/>
          <w:szCs w:val="20"/>
          <w:lang w:val="fr-FR"/>
        </w:rPr>
        <w:t>1° Liées à un besoin d</w:t>
      </w:r>
      <w:r w:rsidRPr="00A86354" w:rsidR="0006032C">
        <w:rPr>
          <w:rFonts w:ascii="Arial" w:hAnsi="Arial" w:cs="Arial"/>
          <w:sz w:val="20"/>
          <w:szCs w:val="20"/>
          <w:lang w:val="fr-FR"/>
        </w:rPr>
        <w:t>’</w:t>
      </w:r>
      <w:r w:rsidRPr="00A86354">
        <w:rPr>
          <w:rFonts w:ascii="Arial" w:hAnsi="Arial" w:cs="Arial"/>
          <w:sz w:val="20"/>
          <w:szCs w:val="20"/>
          <w:lang w:val="fr-FR"/>
        </w:rPr>
        <w:t>aides humaines, y compris, le cas échéant, celles apportées par les aidants familiaux</w:t>
      </w:r>
      <w:r w:rsidRPr="00A86354" w:rsidR="000807D5">
        <w:rPr>
          <w:rFonts w:ascii="Arial" w:hAnsi="Arial" w:cs="Arial"/>
          <w:sz w:val="20"/>
          <w:szCs w:val="20"/>
          <w:lang w:val="fr-FR"/>
        </w:rPr>
        <w:t> ;</w:t>
      </w:r>
    </w:p>
    <w:p w:rsidRPr="00A86354" w:rsidR="00EB2954" w:rsidP="00A86354" w:rsidRDefault="00EB2954" w14:paraId="13666CCB" w14:textId="4F7B74D0">
      <w:pPr>
        <w:ind w:left="709"/>
        <w:rPr>
          <w:rFonts w:ascii="Arial" w:hAnsi="Arial" w:cs="Arial"/>
          <w:sz w:val="20"/>
          <w:szCs w:val="20"/>
          <w:lang w:val="fr-FR"/>
        </w:rPr>
      </w:pPr>
      <w:r w:rsidRPr="00A86354">
        <w:rPr>
          <w:rFonts w:ascii="Arial" w:hAnsi="Arial" w:cs="Arial"/>
          <w:sz w:val="20"/>
          <w:szCs w:val="20"/>
          <w:lang w:val="fr-FR"/>
        </w:rPr>
        <w:t>2° Liées à un besoin d</w:t>
      </w:r>
      <w:r w:rsidRPr="00A86354" w:rsidR="0006032C">
        <w:rPr>
          <w:rFonts w:ascii="Arial" w:hAnsi="Arial" w:cs="Arial"/>
          <w:sz w:val="20"/>
          <w:szCs w:val="20"/>
          <w:lang w:val="fr-FR"/>
        </w:rPr>
        <w:t>’</w:t>
      </w:r>
      <w:r w:rsidRPr="00A86354">
        <w:rPr>
          <w:rFonts w:ascii="Arial" w:hAnsi="Arial" w:cs="Arial"/>
          <w:sz w:val="20"/>
          <w:szCs w:val="20"/>
          <w:lang w:val="fr-FR"/>
        </w:rPr>
        <w:t>aides techniques, notamment aux frais laissés à la charge de l</w:t>
      </w:r>
      <w:r w:rsidRPr="00A86354" w:rsidR="0006032C">
        <w:rPr>
          <w:rFonts w:ascii="Arial" w:hAnsi="Arial" w:cs="Arial"/>
          <w:sz w:val="20"/>
          <w:szCs w:val="20"/>
          <w:lang w:val="fr-FR"/>
        </w:rPr>
        <w:t>’</w:t>
      </w:r>
      <w:r w:rsidRPr="00A86354">
        <w:rPr>
          <w:rFonts w:ascii="Arial" w:hAnsi="Arial" w:cs="Arial"/>
          <w:sz w:val="20"/>
          <w:szCs w:val="20"/>
          <w:lang w:val="fr-FR"/>
        </w:rPr>
        <w:t>assuré lorsque ces aides techniques relèvent des prestations prévues au 1° de l</w:t>
      </w:r>
      <w:r w:rsidRPr="00A86354" w:rsidR="0006032C">
        <w:rPr>
          <w:rFonts w:ascii="Arial" w:hAnsi="Arial" w:cs="Arial"/>
          <w:sz w:val="20"/>
          <w:szCs w:val="20"/>
          <w:lang w:val="fr-FR"/>
        </w:rPr>
        <w:t>’</w:t>
      </w:r>
      <w:r w:rsidRPr="00A86354">
        <w:rPr>
          <w:rFonts w:ascii="Arial" w:hAnsi="Arial" w:cs="Arial"/>
          <w:sz w:val="20"/>
          <w:szCs w:val="20"/>
          <w:lang w:val="fr-FR"/>
        </w:rPr>
        <w:t>article L. 160-8 du code de la sécurité sociale</w:t>
      </w:r>
      <w:r w:rsidRPr="00A86354" w:rsidR="000807D5">
        <w:rPr>
          <w:rFonts w:ascii="Arial" w:hAnsi="Arial" w:cs="Arial"/>
          <w:sz w:val="20"/>
          <w:szCs w:val="20"/>
          <w:lang w:val="fr-FR"/>
        </w:rPr>
        <w:t> ;</w:t>
      </w:r>
    </w:p>
    <w:p w:rsidRPr="00A86354" w:rsidR="00EB2954" w:rsidP="00A86354" w:rsidRDefault="00EB2954" w14:paraId="5B685334" w14:textId="1DFF4859">
      <w:pPr>
        <w:ind w:left="709"/>
        <w:rPr>
          <w:rFonts w:ascii="Arial" w:hAnsi="Arial" w:cs="Arial"/>
          <w:sz w:val="20"/>
          <w:szCs w:val="20"/>
          <w:lang w:val="fr-FR"/>
        </w:rPr>
      </w:pPr>
      <w:r w:rsidRPr="00A86354">
        <w:rPr>
          <w:rFonts w:ascii="Arial" w:hAnsi="Arial" w:cs="Arial"/>
          <w:sz w:val="20"/>
          <w:szCs w:val="20"/>
          <w:lang w:val="fr-FR"/>
        </w:rPr>
        <w:t>3° Liées à l</w:t>
      </w:r>
      <w:r w:rsidRPr="00A86354" w:rsidR="0006032C">
        <w:rPr>
          <w:rFonts w:ascii="Arial" w:hAnsi="Arial" w:cs="Arial"/>
          <w:sz w:val="20"/>
          <w:szCs w:val="20"/>
          <w:lang w:val="fr-FR"/>
        </w:rPr>
        <w:t>’</w:t>
      </w:r>
      <w:r w:rsidRPr="00A86354">
        <w:rPr>
          <w:rFonts w:ascii="Arial" w:hAnsi="Arial" w:cs="Arial"/>
          <w:sz w:val="20"/>
          <w:szCs w:val="20"/>
          <w:lang w:val="fr-FR"/>
        </w:rPr>
        <w:t>aménagement du logement et du véhicule de la personne handicapée, ainsi qu</w:t>
      </w:r>
      <w:r w:rsidRPr="00A86354" w:rsidR="0006032C">
        <w:rPr>
          <w:rFonts w:ascii="Arial" w:hAnsi="Arial" w:cs="Arial"/>
          <w:sz w:val="20"/>
          <w:szCs w:val="20"/>
          <w:lang w:val="fr-FR"/>
        </w:rPr>
        <w:t>’</w:t>
      </w:r>
      <w:r w:rsidRPr="00A86354">
        <w:rPr>
          <w:rFonts w:ascii="Arial" w:hAnsi="Arial" w:cs="Arial"/>
          <w:sz w:val="20"/>
          <w:szCs w:val="20"/>
          <w:lang w:val="fr-FR"/>
        </w:rPr>
        <w:t>à d</w:t>
      </w:r>
      <w:r w:rsidRPr="00A86354" w:rsidR="0006032C">
        <w:rPr>
          <w:rFonts w:ascii="Arial" w:hAnsi="Arial" w:cs="Arial"/>
          <w:sz w:val="20"/>
          <w:szCs w:val="20"/>
          <w:lang w:val="fr-FR"/>
        </w:rPr>
        <w:t>’</w:t>
      </w:r>
      <w:r w:rsidRPr="00A86354">
        <w:rPr>
          <w:rFonts w:ascii="Arial" w:hAnsi="Arial" w:cs="Arial"/>
          <w:sz w:val="20"/>
          <w:szCs w:val="20"/>
          <w:lang w:val="fr-FR"/>
        </w:rPr>
        <w:t>éventuels surcoûts résultant de son transport</w:t>
      </w:r>
      <w:r w:rsidRPr="00A86354" w:rsidR="000807D5">
        <w:rPr>
          <w:rFonts w:ascii="Arial" w:hAnsi="Arial" w:cs="Arial"/>
          <w:sz w:val="20"/>
          <w:szCs w:val="20"/>
          <w:lang w:val="fr-FR"/>
        </w:rPr>
        <w:t> ;</w:t>
      </w:r>
    </w:p>
    <w:p w:rsidRPr="00A86354" w:rsidR="00EB2954" w:rsidP="00A86354" w:rsidRDefault="00EB2954" w14:paraId="4C4CD937" w14:textId="102C9140">
      <w:pPr>
        <w:ind w:left="709"/>
        <w:rPr>
          <w:rFonts w:ascii="Arial" w:hAnsi="Arial" w:cs="Arial"/>
          <w:sz w:val="20"/>
          <w:szCs w:val="20"/>
          <w:lang w:val="fr-FR"/>
        </w:rPr>
      </w:pPr>
      <w:r w:rsidRPr="00A86354">
        <w:rPr>
          <w:rFonts w:ascii="Arial" w:hAnsi="Arial" w:cs="Arial"/>
          <w:sz w:val="20"/>
          <w:szCs w:val="20"/>
          <w:lang w:val="fr-FR"/>
        </w:rPr>
        <w:t>4° Spécifiques ou exceptionnelles, comme celles relatives à l</w:t>
      </w:r>
      <w:r w:rsidRPr="00A86354" w:rsidR="0006032C">
        <w:rPr>
          <w:rFonts w:ascii="Arial" w:hAnsi="Arial" w:cs="Arial"/>
          <w:sz w:val="20"/>
          <w:szCs w:val="20"/>
          <w:lang w:val="fr-FR"/>
        </w:rPr>
        <w:t>’</w:t>
      </w:r>
      <w:r w:rsidRPr="00A86354">
        <w:rPr>
          <w:rFonts w:ascii="Arial" w:hAnsi="Arial" w:cs="Arial"/>
          <w:sz w:val="20"/>
          <w:szCs w:val="20"/>
          <w:lang w:val="fr-FR"/>
        </w:rPr>
        <w:t>acquisition ou l</w:t>
      </w:r>
      <w:r w:rsidRPr="00A86354" w:rsidR="0006032C">
        <w:rPr>
          <w:rFonts w:ascii="Arial" w:hAnsi="Arial" w:cs="Arial"/>
          <w:sz w:val="20"/>
          <w:szCs w:val="20"/>
          <w:lang w:val="fr-FR"/>
        </w:rPr>
        <w:t>’</w:t>
      </w:r>
      <w:r w:rsidRPr="00A86354">
        <w:rPr>
          <w:rFonts w:ascii="Arial" w:hAnsi="Arial" w:cs="Arial"/>
          <w:sz w:val="20"/>
          <w:szCs w:val="20"/>
          <w:lang w:val="fr-FR"/>
        </w:rPr>
        <w:t>entretien de produits liés au handicap</w:t>
      </w:r>
      <w:r w:rsidRPr="00A86354" w:rsidR="000807D5">
        <w:rPr>
          <w:rFonts w:ascii="Arial" w:hAnsi="Arial" w:cs="Arial"/>
          <w:sz w:val="20"/>
          <w:szCs w:val="20"/>
          <w:lang w:val="fr-FR"/>
        </w:rPr>
        <w:t> ;</w:t>
      </w:r>
    </w:p>
    <w:p w:rsidRPr="00A86354" w:rsidR="00EB2954" w:rsidP="00A86354" w:rsidRDefault="00EB2954" w14:paraId="3B35FF54" w14:textId="39071951">
      <w:pPr>
        <w:ind w:left="709"/>
        <w:rPr>
          <w:rFonts w:ascii="Arial" w:hAnsi="Arial" w:cs="Arial"/>
          <w:sz w:val="20"/>
          <w:szCs w:val="20"/>
          <w:lang w:val="fr-FR"/>
        </w:rPr>
      </w:pPr>
      <w:r w:rsidRPr="00A86354">
        <w:rPr>
          <w:rFonts w:ascii="Arial" w:hAnsi="Arial" w:cs="Arial"/>
          <w:sz w:val="20"/>
          <w:szCs w:val="20"/>
          <w:lang w:val="fr-FR"/>
        </w:rPr>
        <w:t>5° Liées à l</w:t>
      </w:r>
      <w:r w:rsidRPr="00A86354" w:rsidR="0006032C">
        <w:rPr>
          <w:rFonts w:ascii="Arial" w:hAnsi="Arial" w:cs="Arial"/>
          <w:sz w:val="20"/>
          <w:szCs w:val="20"/>
          <w:lang w:val="fr-FR"/>
        </w:rPr>
        <w:t>’</w:t>
      </w:r>
      <w:r w:rsidRPr="00A86354">
        <w:rPr>
          <w:rFonts w:ascii="Arial" w:hAnsi="Arial" w:cs="Arial"/>
          <w:sz w:val="20"/>
          <w:szCs w:val="20"/>
          <w:lang w:val="fr-FR"/>
        </w:rPr>
        <w:t>attribution et à l</w:t>
      </w:r>
      <w:r w:rsidRPr="00A86354" w:rsidR="0006032C">
        <w:rPr>
          <w:rFonts w:ascii="Arial" w:hAnsi="Arial" w:cs="Arial"/>
          <w:sz w:val="20"/>
          <w:szCs w:val="20"/>
          <w:lang w:val="fr-FR"/>
        </w:rPr>
        <w:t>’</w:t>
      </w:r>
      <w:r w:rsidRPr="00A86354">
        <w:rPr>
          <w:rFonts w:ascii="Arial" w:hAnsi="Arial" w:cs="Arial"/>
          <w:sz w:val="20"/>
          <w:szCs w:val="20"/>
          <w:lang w:val="fr-FR"/>
        </w:rPr>
        <w:t>entretien des aides animalières. A compter du 1er janvier 2006, les charges correspondant à un chien guide d</w:t>
      </w:r>
      <w:r w:rsidRPr="00A86354" w:rsidR="0006032C">
        <w:rPr>
          <w:rFonts w:ascii="Arial" w:hAnsi="Arial" w:cs="Arial"/>
          <w:sz w:val="20"/>
          <w:szCs w:val="20"/>
          <w:lang w:val="fr-FR"/>
        </w:rPr>
        <w:t>’</w:t>
      </w:r>
      <w:r w:rsidRPr="00A86354">
        <w:rPr>
          <w:rFonts w:ascii="Arial" w:hAnsi="Arial" w:cs="Arial"/>
          <w:sz w:val="20"/>
          <w:szCs w:val="20"/>
          <w:lang w:val="fr-FR"/>
        </w:rPr>
        <w:t>aveugle ou à un chien d</w:t>
      </w:r>
      <w:r w:rsidRPr="00A86354" w:rsidR="0006032C">
        <w:rPr>
          <w:rFonts w:ascii="Arial" w:hAnsi="Arial" w:cs="Arial"/>
          <w:sz w:val="20"/>
          <w:szCs w:val="20"/>
          <w:lang w:val="fr-FR"/>
        </w:rPr>
        <w:t>’</w:t>
      </w:r>
      <w:r w:rsidRPr="00A86354">
        <w:rPr>
          <w:rFonts w:ascii="Arial" w:hAnsi="Arial" w:cs="Arial"/>
          <w:sz w:val="20"/>
          <w:szCs w:val="20"/>
          <w:lang w:val="fr-FR"/>
        </w:rPr>
        <w:t>assistance ne sont prises en compte dans le calcul de la prestation que si le chien a été éduqué dans une structure labellisée et par des éducateurs qualifiés selon des conditions définies par décret. Les chiens remis aux personnes handicapées avant cette date sont présumés remplir ces conditions.</w:t>
      </w:r>
    </w:p>
    <w:p w:rsidRPr="00A86354" w:rsidR="00EB2954" w:rsidP="00A86354" w:rsidRDefault="00EB2954" w14:paraId="21910605" w14:textId="77777777">
      <w:pPr>
        <w:ind w:left="709"/>
        <w:rPr>
          <w:rFonts w:ascii="Arial" w:hAnsi="Arial" w:cs="Arial"/>
          <w:lang w:val="fr-FR"/>
        </w:rPr>
      </w:pPr>
    </w:p>
    <w:p w:rsidRPr="00A86354" w:rsidR="00EB2954" w:rsidP="00A86354" w:rsidRDefault="00EB2954" w14:paraId="53A0B2C0" w14:textId="77777777">
      <w:pPr>
        <w:ind w:left="709"/>
        <w:rPr>
          <w:rFonts w:ascii="Arial" w:hAnsi="Arial" w:cs="Arial"/>
          <w:b/>
          <w:bCs/>
          <w:sz w:val="20"/>
          <w:szCs w:val="20"/>
          <w:lang w:val="fr-FR"/>
        </w:rPr>
      </w:pPr>
      <w:r w:rsidRPr="00A86354">
        <w:rPr>
          <w:rFonts w:ascii="Arial" w:hAnsi="Arial" w:cs="Arial"/>
          <w:b/>
          <w:bCs/>
          <w:sz w:val="20"/>
          <w:szCs w:val="20"/>
          <w:lang w:val="fr-FR"/>
        </w:rPr>
        <w:t>Article L245-4</w:t>
      </w:r>
    </w:p>
    <w:p w:rsidRPr="00A86354" w:rsidR="00EB2954" w:rsidP="00A86354" w:rsidRDefault="00EB2954" w14:paraId="56F64DC9" w14:textId="77777777">
      <w:pPr>
        <w:ind w:left="709"/>
        <w:rPr>
          <w:rFonts w:ascii="Arial" w:hAnsi="Arial" w:cs="Arial"/>
          <w:sz w:val="20"/>
          <w:szCs w:val="20"/>
          <w:lang w:val="fr-FR"/>
        </w:rPr>
      </w:pPr>
    </w:p>
    <w:p w:rsidRPr="00A86354" w:rsidR="00EB2954" w:rsidP="00A86354" w:rsidRDefault="00EB2954" w14:paraId="4212F049" w14:textId="59E7BF27">
      <w:pPr>
        <w:ind w:left="709"/>
        <w:rPr>
          <w:rFonts w:ascii="Arial" w:hAnsi="Arial" w:cs="Arial"/>
          <w:sz w:val="20"/>
          <w:szCs w:val="20"/>
          <w:lang w:val="fr-FR"/>
        </w:rPr>
      </w:pPr>
      <w:r w:rsidRPr="00A86354">
        <w:rPr>
          <w:rFonts w:ascii="Arial" w:hAnsi="Arial" w:cs="Arial"/>
          <w:sz w:val="20"/>
          <w:szCs w:val="20"/>
          <w:lang w:val="fr-FR"/>
        </w:rPr>
        <w:t>L</w:t>
      </w:r>
      <w:r w:rsidRPr="00A86354" w:rsidR="0006032C">
        <w:rPr>
          <w:rFonts w:ascii="Arial" w:hAnsi="Arial" w:cs="Arial"/>
          <w:sz w:val="20"/>
          <w:szCs w:val="20"/>
          <w:lang w:val="fr-FR"/>
        </w:rPr>
        <w:t>’</w:t>
      </w:r>
      <w:r w:rsidRPr="00A86354">
        <w:rPr>
          <w:rFonts w:ascii="Arial" w:hAnsi="Arial" w:cs="Arial"/>
          <w:sz w:val="20"/>
          <w:szCs w:val="20"/>
          <w:lang w:val="fr-FR"/>
        </w:rPr>
        <w:t>élément de la prestation relevant du 1° de l</w:t>
      </w:r>
      <w:r w:rsidRPr="00A86354" w:rsidR="0006032C">
        <w:rPr>
          <w:rFonts w:ascii="Arial" w:hAnsi="Arial" w:cs="Arial"/>
          <w:sz w:val="20"/>
          <w:szCs w:val="20"/>
          <w:lang w:val="fr-FR"/>
        </w:rPr>
        <w:t>’</w:t>
      </w:r>
      <w:r w:rsidRPr="00A86354">
        <w:rPr>
          <w:rFonts w:ascii="Arial" w:hAnsi="Arial" w:cs="Arial"/>
          <w:sz w:val="20"/>
          <w:szCs w:val="20"/>
          <w:lang w:val="fr-FR"/>
        </w:rPr>
        <w:t>article L. 245-3 est accordé à toute personne handicapée soit lorsque son état nécessite l</w:t>
      </w:r>
      <w:r w:rsidRPr="00A86354" w:rsidR="0006032C">
        <w:rPr>
          <w:rFonts w:ascii="Arial" w:hAnsi="Arial" w:cs="Arial"/>
          <w:sz w:val="20"/>
          <w:szCs w:val="20"/>
          <w:lang w:val="fr-FR"/>
        </w:rPr>
        <w:t>’</w:t>
      </w:r>
      <w:r w:rsidRPr="00A86354">
        <w:rPr>
          <w:rFonts w:ascii="Arial" w:hAnsi="Arial" w:cs="Arial"/>
          <w:sz w:val="20"/>
          <w:szCs w:val="20"/>
          <w:lang w:val="fr-FR"/>
        </w:rPr>
        <w:t>aide effective d</w:t>
      </w:r>
      <w:r w:rsidRPr="00A86354" w:rsidR="0006032C">
        <w:rPr>
          <w:rFonts w:ascii="Arial" w:hAnsi="Arial" w:cs="Arial"/>
          <w:sz w:val="20"/>
          <w:szCs w:val="20"/>
          <w:lang w:val="fr-FR"/>
        </w:rPr>
        <w:t>’</w:t>
      </w:r>
      <w:r w:rsidRPr="00A86354">
        <w:rPr>
          <w:rFonts w:ascii="Arial" w:hAnsi="Arial" w:cs="Arial"/>
          <w:sz w:val="20"/>
          <w:szCs w:val="20"/>
          <w:lang w:val="fr-FR"/>
        </w:rPr>
        <w:t>une tierce personne pour les actes essentiels de l</w:t>
      </w:r>
      <w:r w:rsidRPr="00A86354" w:rsidR="0006032C">
        <w:rPr>
          <w:rFonts w:ascii="Arial" w:hAnsi="Arial" w:cs="Arial"/>
          <w:sz w:val="20"/>
          <w:szCs w:val="20"/>
          <w:lang w:val="fr-FR"/>
        </w:rPr>
        <w:t>’</w:t>
      </w:r>
      <w:r w:rsidRPr="00A86354">
        <w:rPr>
          <w:rFonts w:ascii="Arial" w:hAnsi="Arial" w:cs="Arial"/>
          <w:sz w:val="20"/>
          <w:szCs w:val="20"/>
          <w:lang w:val="fr-FR"/>
        </w:rPr>
        <w:t>existence ou requiert une surveillance régulière, soit lorsque l</w:t>
      </w:r>
      <w:r w:rsidRPr="00A86354" w:rsidR="0006032C">
        <w:rPr>
          <w:rFonts w:ascii="Arial" w:hAnsi="Arial" w:cs="Arial"/>
          <w:sz w:val="20"/>
          <w:szCs w:val="20"/>
          <w:lang w:val="fr-FR"/>
        </w:rPr>
        <w:t>’</w:t>
      </w:r>
      <w:r w:rsidRPr="00A86354">
        <w:rPr>
          <w:rFonts w:ascii="Arial" w:hAnsi="Arial" w:cs="Arial"/>
          <w:sz w:val="20"/>
          <w:szCs w:val="20"/>
          <w:lang w:val="fr-FR"/>
        </w:rPr>
        <w:t>exercice d</w:t>
      </w:r>
      <w:r w:rsidRPr="00A86354" w:rsidR="0006032C">
        <w:rPr>
          <w:rFonts w:ascii="Arial" w:hAnsi="Arial" w:cs="Arial"/>
          <w:sz w:val="20"/>
          <w:szCs w:val="20"/>
          <w:lang w:val="fr-FR"/>
        </w:rPr>
        <w:t>’</w:t>
      </w:r>
      <w:r w:rsidRPr="00A86354">
        <w:rPr>
          <w:rFonts w:ascii="Arial" w:hAnsi="Arial" w:cs="Arial"/>
          <w:sz w:val="20"/>
          <w:szCs w:val="20"/>
          <w:lang w:val="fr-FR"/>
        </w:rPr>
        <w:t>une activité professionnelle ou d</w:t>
      </w:r>
      <w:r w:rsidRPr="00A86354" w:rsidR="0006032C">
        <w:rPr>
          <w:rFonts w:ascii="Arial" w:hAnsi="Arial" w:cs="Arial"/>
          <w:sz w:val="20"/>
          <w:szCs w:val="20"/>
          <w:lang w:val="fr-FR"/>
        </w:rPr>
        <w:t>’</w:t>
      </w:r>
      <w:r w:rsidRPr="00A86354">
        <w:rPr>
          <w:rFonts w:ascii="Arial" w:hAnsi="Arial" w:cs="Arial"/>
          <w:sz w:val="20"/>
          <w:szCs w:val="20"/>
          <w:lang w:val="fr-FR"/>
        </w:rPr>
        <w:t>une fonction élective lui impose des frais supplémentaires.</w:t>
      </w:r>
    </w:p>
    <w:p w:rsidRPr="00A86354" w:rsidR="00394CAB" w:rsidP="00A86354" w:rsidRDefault="00394CAB" w14:paraId="2A9D16A8" w14:textId="77777777">
      <w:pPr>
        <w:ind w:left="709"/>
        <w:rPr>
          <w:rFonts w:ascii="Arial" w:hAnsi="Arial" w:cs="Arial"/>
          <w:sz w:val="20"/>
          <w:szCs w:val="20"/>
          <w:lang w:val="fr-FR"/>
        </w:rPr>
      </w:pPr>
    </w:p>
    <w:p w:rsidRPr="00A86354" w:rsidR="00EB2954" w:rsidP="00A86354" w:rsidRDefault="00EB2954" w14:paraId="6B98F94F" w14:textId="153C0CC8">
      <w:pPr>
        <w:ind w:left="709"/>
        <w:rPr>
          <w:rFonts w:ascii="Arial" w:hAnsi="Arial" w:cs="Arial"/>
          <w:sz w:val="20"/>
          <w:szCs w:val="20"/>
          <w:lang w:val="fr-FR"/>
        </w:rPr>
      </w:pPr>
      <w:r w:rsidRPr="00A86354">
        <w:rPr>
          <w:rFonts w:ascii="Arial" w:hAnsi="Arial" w:cs="Arial"/>
          <w:sz w:val="20"/>
          <w:szCs w:val="20"/>
          <w:lang w:val="fr-FR"/>
        </w:rPr>
        <w:t>Le montant attribué à la personne handicapée est évalué en fonction du nombre d</w:t>
      </w:r>
      <w:r w:rsidRPr="00A86354" w:rsidR="0006032C">
        <w:rPr>
          <w:rFonts w:ascii="Arial" w:hAnsi="Arial" w:cs="Arial"/>
          <w:sz w:val="20"/>
          <w:szCs w:val="20"/>
          <w:lang w:val="fr-FR"/>
        </w:rPr>
        <w:t>’</w:t>
      </w:r>
      <w:r w:rsidRPr="00A86354">
        <w:rPr>
          <w:rFonts w:ascii="Arial" w:hAnsi="Arial" w:cs="Arial"/>
          <w:sz w:val="20"/>
          <w:szCs w:val="20"/>
          <w:lang w:val="fr-FR"/>
        </w:rPr>
        <w:t>heures de présence requis par sa situation et fixé en équivalent-temps plein, en tenant compte du coût réel de rémunération des aides humaines en application de la législation du travail et de la convention collective en vigueur.</w:t>
      </w:r>
    </w:p>
    <w:p w:rsidRPr="00A86354" w:rsidR="00EB2954" w:rsidP="00A86354" w:rsidRDefault="00EB2954" w14:paraId="66A12EE7" w14:textId="77777777">
      <w:pPr>
        <w:ind w:left="709"/>
        <w:rPr>
          <w:rFonts w:ascii="Arial" w:hAnsi="Arial" w:cs="Arial"/>
          <w:sz w:val="20"/>
          <w:szCs w:val="20"/>
          <w:lang w:val="fr-FR"/>
        </w:rPr>
      </w:pPr>
    </w:p>
    <w:p w:rsidRPr="00A86354" w:rsidR="00EB2954" w:rsidP="00A86354" w:rsidRDefault="002C5D46" w14:paraId="509140A3" w14:textId="031D0A95">
      <w:pPr>
        <w:ind w:left="709"/>
        <w:rPr>
          <w:rFonts w:ascii="Arial" w:hAnsi="Arial" w:cs="Arial"/>
          <w:lang w:val="fr-FR"/>
        </w:rPr>
      </w:pPr>
      <w:r w:rsidRPr="00A86354">
        <w:rPr>
          <w:rFonts w:ascii="Arial" w:hAnsi="Arial" w:cs="Arial"/>
          <w:sz w:val="20"/>
          <w:szCs w:val="20"/>
          <w:lang w:val="fr-FR"/>
        </w:rPr>
        <w:t>[...]</w:t>
      </w:r>
      <w:r w:rsidRPr="00A86354" w:rsidR="00EB2954">
        <w:rPr>
          <w:rFonts w:ascii="Arial" w:hAnsi="Arial" w:cs="Arial"/>
          <w:sz w:val="20"/>
          <w:szCs w:val="20"/>
          <w:lang w:val="fr-FR"/>
        </w:rPr>
        <w:t xml:space="preserve"> </w:t>
      </w:r>
    </w:p>
    <w:p w:rsidRPr="00A86354" w:rsidR="00EB2954" w:rsidP="00A86354" w:rsidRDefault="00EB2954" w14:paraId="6F699C8E" w14:textId="77777777">
      <w:pPr>
        <w:ind w:left="709"/>
        <w:rPr>
          <w:rFonts w:ascii="Arial" w:hAnsi="Arial" w:cs="Arial"/>
          <w:b/>
          <w:bCs/>
          <w:lang w:val="fr-FR"/>
        </w:rPr>
      </w:pPr>
    </w:p>
    <w:p w:rsidRPr="00A86354" w:rsidR="00EB2954" w:rsidP="00A86354" w:rsidRDefault="00EB2954" w14:paraId="41A7F0A4" w14:textId="77777777">
      <w:pPr>
        <w:ind w:left="709"/>
        <w:rPr>
          <w:rFonts w:ascii="Arial" w:hAnsi="Arial" w:cs="Arial"/>
          <w:b/>
          <w:bCs/>
          <w:sz w:val="20"/>
          <w:szCs w:val="20"/>
          <w:lang w:val="fr-FR"/>
        </w:rPr>
      </w:pPr>
      <w:r w:rsidRPr="00A86354">
        <w:rPr>
          <w:rFonts w:ascii="Arial" w:hAnsi="Arial" w:cs="Arial"/>
          <w:b/>
          <w:bCs/>
          <w:sz w:val="20"/>
          <w:szCs w:val="20"/>
          <w:lang w:val="fr-FR"/>
        </w:rPr>
        <w:t>Article L245-6</w:t>
      </w:r>
    </w:p>
    <w:p w:rsidRPr="00A86354" w:rsidR="00EB2954" w:rsidP="00A86354" w:rsidRDefault="00EB2954" w14:paraId="62C7A38F" w14:textId="77777777">
      <w:pPr>
        <w:ind w:left="709"/>
        <w:rPr>
          <w:rFonts w:ascii="Arial" w:hAnsi="Arial" w:cs="Arial"/>
          <w:b/>
          <w:bCs/>
          <w:sz w:val="20"/>
          <w:szCs w:val="20"/>
          <w:lang w:val="fr-FR"/>
        </w:rPr>
      </w:pPr>
    </w:p>
    <w:p w:rsidRPr="00A86354" w:rsidR="00EB2954" w:rsidP="00A86354" w:rsidRDefault="00EB2954" w14:paraId="1FDA98F1" w14:textId="677AFC8D">
      <w:pPr>
        <w:ind w:left="709"/>
        <w:rPr>
          <w:rFonts w:ascii="Arial" w:hAnsi="Arial" w:cs="Arial"/>
          <w:sz w:val="20"/>
          <w:szCs w:val="20"/>
          <w:lang w:val="fr-FR"/>
        </w:rPr>
      </w:pPr>
      <w:r w:rsidRPr="00A86354">
        <w:rPr>
          <w:rFonts w:ascii="Arial" w:hAnsi="Arial" w:cs="Arial"/>
          <w:sz w:val="20"/>
          <w:szCs w:val="20"/>
          <w:lang w:val="fr-FR"/>
        </w:rPr>
        <w:t>La prestation de compensation est accordée, pour une durée d</w:t>
      </w:r>
      <w:r w:rsidRPr="00A86354" w:rsidR="0006032C">
        <w:rPr>
          <w:rFonts w:ascii="Arial" w:hAnsi="Arial" w:cs="Arial"/>
          <w:sz w:val="20"/>
          <w:szCs w:val="20"/>
          <w:lang w:val="fr-FR"/>
        </w:rPr>
        <w:t>’</w:t>
      </w:r>
      <w:r w:rsidRPr="00A86354">
        <w:rPr>
          <w:rFonts w:ascii="Arial" w:hAnsi="Arial" w:cs="Arial"/>
          <w:sz w:val="20"/>
          <w:szCs w:val="20"/>
          <w:lang w:val="fr-FR"/>
        </w:rPr>
        <w:t>attribution unique et renouvelable, sur la base de tarifs et de montants fixés par nature de dépense, dans la limite de taux de prise en charge qui peuvent varier selon les ressources du bénéficiaire. Les montants maximums, les tarifs et les taux de prise en charge sont fixés par arrêtés du ministre chargé des personnes handicapées. Les modalités et la durée d</w:t>
      </w:r>
      <w:r w:rsidRPr="00A86354" w:rsidR="0006032C">
        <w:rPr>
          <w:rFonts w:ascii="Arial" w:hAnsi="Arial" w:cs="Arial"/>
          <w:sz w:val="20"/>
          <w:szCs w:val="20"/>
          <w:lang w:val="fr-FR"/>
        </w:rPr>
        <w:t>’</w:t>
      </w:r>
      <w:r w:rsidRPr="00A86354">
        <w:rPr>
          <w:rFonts w:ascii="Arial" w:hAnsi="Arial" w:cs="Arial"/>
          <w:sz w:val="20"/>
          <w:szCs w:val="20"/>
          <w:lang w:val="fr-FR"/>
        </w:rPr>
        <w:t>attribution de cette prestation sont définies par décret. Lorsque le handicap n</w:t>
      </w:r>
      <w:r w:rsidRPr="00A86354" w:rsidR="0006032C">
        <w:rPr>
          <w:rFonts w:ascii="Arial" w:hAnsi="Arial" w:cs="Arial"/>
          <w:sz w:val="20"/>
          <w:szCs w:val="20"/>
          <w:lang w:val="fr-FR"/>
        </w:rPr>
        <w:t>’</w:t>
      </w:r>
      <w:r w:rsidRPr="00A86354">
        <w:rPr>
          <w:rFonts w:ascii="Arial" w:hAnsi="Arial" w:cs="Arial"/>
          <w:sz w:val="20"/>
          <w:szCs w:val="20"/>
          <w:lang w:val="fr-FR"/>
        </w:rPr>
        <w:t>est pas susceptible d</w:t>
      </w:r>
      <w:r w:rsidRPr="00A86354" w:rsidR="0006032C">
        <w:rPr>
          <w:rFonts w:ascii="Arial" w:hAnsi="Arial" w:cs="Arial"/>
          <w:sz w:val="20"/>
          <w:szCs w:val="20"/>
          <w:lang w:val="fr-FR"/>
        </w:rPr>
        <w:t>’</w:t>
      </w:r>
      <w:r w:rsidRPr="00A86354">
        <w:rPr>
          <w:rFonts w:ascii="Arial" w:hAnsi="Arial" w:cs="Arial"/>
          <w:sz w:val="20"/>
          <w:szCs w:val="20"/>
          <w:lang w:val="fr-FR"/>
        </w:rPr>
        <w:t>évoluer favorablement, un droit à la prestation de compensation du handicap est ouvert sans limitation de durée, sans préjudice des révisions du plan personnalisé de compensation qu</w:t>
      </w:r>
      <w:r w:rsidRPr="00A86354" w:rsidR="0006032C">
        <w:rPr>
          <w:rFonts w:ascii="Arial" w:hAnsi="Arial" w:cs="Arial"/>
          <w:sz w:val="20"/>
          <w:szCs w:val="20"/>
          <w:lang w:val="fr-FR"/>
        </w:rPr>
        <w:t>’</w:t>
      </w:r>
      <w:r w:rsidRPr="00A86354">
        <w:rPr>
          <w:rFonts w:ascii="Arial" w:hAnsi="Arial" w:cs="Arial"/>
          <w:sz w:val="20"/>
          <w:szCs w:val="20"/>
          <w:lang w:val="fr-FR"/>
        </w:rPr>
        <w:t>appellent les besoins de la personne.</w:t>
      </w:r>
    </w:p>
    <w:p w:rsidRPr="00A86354" w:rsidR="00394CAB" w:rsidP="00A86354" w:rsidRDefault="00394CAB" w14:paraId="74379F09" w14:textId="77777777">
      <w:pPr>
        <w:ind w:left="709"/>
        <w:rPr>
          <w:rFonts w:ascii="Arial" w:hAnsi="Arial" w:cs="Arial"/>
          <w:sz w:val="20"/>
          <w:szCs w:val="20"/>
          <w:lang w:val="fr-FR"/>
        </w:rPr>
      </w:pPr>
    </w:p>
    <w:p w:rsidRPr="00A86354" w:rsidR="00EB2954" w:rsidP="00A86354" w:rsidRDefault="00EB2954" w14:paraId="202A0FEC" w14:textId="60AF509F">
      <w:pPr>
        <w:ind w:left="709"/>
        <w:rPr>
          <w:rFonts w:ascii="Arial" w:hAnsi="Arial" w:cs="Arial"/>
          <w:sz w:val="20"/>
          <w:szCs w:val="20"/>
          <w:lang w:val="fr-FR"/>
        </w:rPr>
      </w:pPr>
      <w:r w:rsidRPr="00A86354">
        <w:rPr>
          <w:rFonts w:ascii="Arial" w:hAnsi="Arial" w:cs="Arial"/>
          <w:sz w:val="20"/>
          <w:szCs w:val="20"/>
          <w:lang w:val="fr-FR"/>
        </w:rPr>
        <w:t>Sont exclus des ressources retenues pour la détermination du taux de prise en charge mentionné à l</w:t>
      </w:r>
      <w:r w:rsidRPr="00A86354" w:rsidR="0006032C">
        <w:rPr>
          <w:rFonts w:ascii="Arial" w:hAnsi="Arial" w:cs="Arial"/>
          <w:sz w:val="20"/>
          <w:szCs w:val="20"/>
          <w:lang w:val="fr-FR"/>
        </w:rPr>
        <w:t>’</w:t>
      </w:r>
      <w:r w:rsidRPr="00A86354">
        <w:rPr>
          <w:rFonts w:ascii="Arial" w:hAnsi="Arial" w:cs="Arial"/>
          <w:sz w:val="20"/>
          <w:szCs w:val="20"/>
          <w:lang w:val="fr-FR"/>
        </w:rPr>
        <w:t>alinéa précédent</w:t>
      </w:r>
      <w:r w:rsidRPr="00A86354" w:rsidR="000807D5">
        <w:rPr>
          <w:rFonts w:ascii="Arial" w:hAnsi="Arial" w:cs="Arial"/>
          <w:sz w:val="20"/>
          <w:szCs w:val="20"/>
          <w:lang w:val="fr-FR"/>
        </w:rPr>
        <w:t> :</w:t>
      </w:r>
    </w:p>
    <w:p w:rsidRPr="00A86354" w:rsidR="00624C66" w:rsidP="00A86354" w:rsidRDefault="00624C66" w14:paraId="525C813A" w14:textId="77777777">
      <w:pPr>
        <w:ind w:left="709"/>
        <w:rPr>
          <w:rFonts w:ascii="Arial" w:hAnsi="Arial" w:cs="Arial"/>
          <w:sz w:val="20"/>
          <w:szCs w:val="20"/>
          <w:lang w:val="fr-FR"/>
        </w:rPr>
      </w:pPr>
    </w:p>
    <w:p w:rsidRPr="00A86354" w:rsidR="00EB2954" w:rsidP="00A86354" w:rsidRDefault="00EB2954" w14:paraId="08B19752" w14:textId="39782CD4">
      <w:pPr>
        <w:ind w:left="709"/>
        <w:rPr>
          <w:rFonts w:ascii="Arial" w:hAnsi="Arial" w:cs="Arial"/>
          <w:sz w:val="20"/>
          <w:szCs w:val="20"/>
          <w:lang w:val="fr-FR"/>
        </w:rPr>
      </w:pPr>
      <w:r w:rsidRPr="00A86354">
        <w:rPr>
          <w:rFonts w:ascii="Arial" w:hAnsi="Arial" w:cs="Arial"/>
          <w:sz w:val="20"/>
          <w:szCs w:val="20"/>
          <w:lang w:val="fr-FR"/>
        </w:rPr>
        <w:t>-les revenus d</w:t>
      </w:r>
      <w:r w:rsidRPr="00A86354" w:rsidR="0006032C">
        <w:rPr>
          <w:rFonts w:ascii="Arial" w:hAnsi="Arial" w:cs="Arial"/>
          <w:sz w:val="20"/>
          <w:szCs w:val="20"/>
          <w:lang w:val="fr-FR"/>
        </w:rPr>
        <w:t>’</w:t>
      </w:r>
      <w:r w:rsidRPr="00A86354">
        <w:rPr>
          <w:rFonts w:ascii="Arial" w:hAnsi="Arial" w:cs="Arial"/>
          <w:sz w:val="20"/>
          <w:szCs w:val="20"/>
          <w:lang w:val="fr-FR"/>
        </w:rPr>
        <w:t>activité professionnelle de l</w:t>
      </w:r>
      <w:r w:rsidRPr="00A86354" w:rsidR="0006032C">
        <w:rPr>
          <w:rFonts w:ascii="Arial" w:hAnsi="Arial" w:cs="Arial"/>
          <w:sz w:val="20"/>
          <w:szCs w:val="20"/>
          <w:lang w:val="fr-FR"/>
        </w:rPr>
        <w:t>’</w:t>
      </w:r>
      <w:r w:rsidRPr="00A86354">
        <w:rPr>
          <w:rFonts w:ascii="Arial" w:hAnsi="Arial" w:cs="Arial"/>
          <w:sz w:val="20"/>
          <w:szCs w:val="20"/>
          <w:lang w:val="fr-FR"/>
        </w:rPr>
        <w:t>intéressé</w:t>
      </w:r>
      <w:r w:rsidRPr="00A86354" w:rsidR="000807D5">
        <w:rPr>
          <w:rFonts w:ascii="Arial" w:hAnsi="Arial" w:cs="Arial"/>
          <w:sz w:val="20"/>
          <w:szCs w:val="20"/>
          <w:lang w:val="fr-FR"/>
        </w:rPr>
        <w:t> ;</w:t>
      </w:r>
    </w:p>
    <w:p w:rsidRPr="00A86354" w:rsidR="00394CAB" w:rsidP="00A86354" w:rsidRDefault="00394CAB" w14:paraId="0118C59A" w14:textId="77777777">
      <w:pPr>
        <w:ind w:left="709"/>
        <w:rPr>
          <w:rFonts w:ascii="Arial" w:hAnsi="Arial" w:cs="Arial"/>
          <w:sz w:val="20"/>
          <w:szCs w:val="20"/>
          <w:lang w:val="fr-FR"/>
        </w:rPr>
      </w:pPr>
    </w:p>
    <w:p w:rsidRPr="00A86354" w:rsidR="00EB2954" w:rsidP="00A86354" w:rsidRDefault="00EB2954" w14:paraId="2006DC50" w14:textId="2E615F8A">
      <w:pPr>
        <w:ind w:left="709"/>
        <w:rPr>
          <w:rFonts w:ascii="Arial" w:hAnsi="Arial" w:cs="Arial"/>
          <w:sz w:val="20"/>
          <w:szCs w:val="20"/>
          <w:lang w:val="fr-FR"/>
        </w:rPr>
      </w:pPr>
      <w:r w:rsidRPr="00A86354">
        <w:rPr>
          <w:rFonts w:ascii="Arial" w:hAnsi="Arial" w:cs="Arial"/>
          <w:sz w:val="20"/>
          <w:szCs w:val="20"/>
          <w:lang w:val="fr-FR"/>
        </w:rPr>
        <w:lastRenderedPageBreak/>
        <w:t>-les indemnités temporaires, prestations et rentes viagères servies aux victimes d</w:t>
      </w:r>
      <w:r w:rsidRPr="00A86354" w:rsidR="0006032C">
        <w:rPr>
          <w:rFonts w:ascii="Arial" w:hAnsi="Arial" w:cs="Arial"/>
          <w:sz w:val="20"/>
          <w:szCs w:val="20"/>
          <w:lang w:val="fr-FR"/>
        </w:rPr>
        <w:t>’</w:t>
      </w:r>
      <w:r w:rsidRPr="00A86354">
        <w:rPr>
          <w:rFonts w:ascii="Arial" w:hAnsi="Arial" w:cs="Arial"/>
          <w:sz w:val="20"/>
          <w:szCs w:val="20"/>
          <w:lang w:val="fr-FR"/>
        </w:rPr>
        <w:t>accidents du travail ou à leurs ayants droit mentionnées au 8° de l</w:t>
      </w:r>
      <w:r w:rsidRPr="00A86354" w:rsidR="0006032C">
        <w:rPr>
          <w:rFonts w:ascii="Arial" w:hAnsi="Arial" w:cs="Arial"/>
          <w:sz w:val="20"/>
          <w:szCs w:val="20"/>
          <w:lang w:val="fr-FR"/>
        </w:rPr>
        <w:t>’</w:t>
      </w:r>
      <w:r w:rsidRPr="00A86354">
        <w:rPr>
          <w:rFonts w:ascii="Arial" w:hAnsi="Arial" w:cs="Arial"/>
          <w:sz w:val="20"/>
          <w:szCs w:val="20"/>
          <w:lang w:val="fr-FR"/>
        </w:rPr>
        <w:t>article 81 du code général des impôts</w:t>
      </w:r>
      <w:r w:rsidRPr="00A86354" w:rsidR="000807D5">
        <w:rPr>
          <w:rFonts w:ascii="Arial" w:hAnsi="Arial" w:cs="Arial"/>
          <w:sz w:val="20"/>
          <w:szCs w:val="20"/>
          <w:lang w:val="fr-FR"/>
        </w:rPr>
        <w:t> ;</w:t>
      </w:r>
    </w:p>
    <w:p w:rsidRPr="00A86354" w:rsidR="00394CAB" w:rsidP="00A86354" w:rsidRDefault="00394CAB" w14:paraId="689B0C9F" w14:textId="77777777">
      <w:pPr>
        <w:ind w:left="709"/>
        <w:rPr>
          <w:rFonts w:ascii="Arial" w:hAnsi="Arial" w:cs="Arial"/>
          <w:sz w:val="20"/>
          <w:szCs w:val="20"/>
          <w:lang w:val="fr-FR"/>
        </w:rPr>
      </w:pPr>
    </w:p>
    <w:p w:rsidRPr="00A86354" w:rsidR="00EB2954" w:rsidP="00A86354" w:rsidRDefault="00EB2954" w14:paraId="423EB364" w14:textId="1F400CCA">
      <w:pPr>
        <w:ind w:left="709"/>
        <w:rPr>
          <w:rFonts w:ascii="Arial" w:hAnsi="Arial" w:cs="Arial"/>
          <w:sz w:val="20"/>
          <w:szCs w:val="20"/>
          <w:lang w:val="fr-FR"/>
        </w:rPr>
      </w:pPr>
      <w:r w:rsidRPr="00A86354">
        <w:rPr>
          <w:rFonts w:ascii="Arial" w:hAnsi="Arial" w:cs="Arial"/>
          <w:sz w:val="20"/>
          <w:szCs w:val="20"/>
          <w:lang w:val="fr-FR"/>
        </w:rPr>
        <w:t>-les revenus de remplacement dont la liste est fixée par voie réglementaire</w:t>
      </w:r>
      <w:r w:rsidRPr="00A86354" w:rsidR="000807D5">
        <w:rPr>
          <w:rFonts w:ascii="Arial" w:hAnsi="Arial" w:cs="Arial"/>
          <w:sz w:val="20"/>
          <w:szCs w:val="20"/>
          <w:lang w:val="fr-FR"/>
        </w:rPr>
        <w:t> ;</w:t>
      </w:r>
    </w:p>
    <w:p w:rsidRPr="00A86354" w:rsidR="00394CAB" w:rsidP="00A86354" w:rsidRDefault="00394CAB" w14:paraId="77375515" w14:textId="77777777">
      <w:pPr>
        <w:ind w:left="709"/>
        <w:rPr>
          <w:rFonts w:ascii="Arial" w:hAnsi="Arial" w:cs="Arial"/>
          <w:sz w:val="20"/>
          <w:szCs w:val="20"/>
          <w:lang w:val="fr-FR"/>
        </w:rPr>
      </w:pPr>
    </w:p>
    <w:p w:rsidRPr="00A86354" w:rsidR="00EB2954" w:rsidP="00A86354" w:rsidRDefault="00EB2954" w14:paraId="7A74E45B" w14:textId="487C9335">
      <w:pPr>
        <w:ind w:left="709"/>
        <w:rPr>
          <w:rFonts w:ascii="Arial" w:hAnsi="Arial" w:cs="Arial"/>
          <w:sz w:val="20"/>
          <w:szCs w:val="20"/>
          <w:lang w:val="fr-FR"/>
        </w:rPr>
      </w:pPr>
      <w:r w:rsidRPr="00A86354">
        <w:rPr>
          <w:rFonts w:ascii="Arial" w:hAnsi="Arial" w:cs="Arial"/>
          <w:sz w:val="20"/>
          <w:szCs w:val="20"/>
          <w:lang w:val="fr-FR"/>
        </w:rPr>
        <w:t>-les revenus d</w:t>
      </w:r>
      <w:r w:rsidRPr="00A86354" w:rsidR="0006032C">
        <w:rPr>
          <w:rFonts w:ascii="Arial" w:hAnsi="Arial" w:cs="Arial"/>
          <w:sz w:val="20"/>
          <w:szCs w:val="20"/>
          <w:lang w:val="fr-FR"/>
        </w:rPr>
        <w:t>’</w:t>
      </w:r>
      <w:r w:rsidRPr="00A86354">
        <w:rPr>
          <w:rFonts w:ascii="Arial" w:hAnsi="Arial" w:cs="Arial"/>
          <w:sz w:val="20"/>
          <w:szCs w:val="20"/>
          <w:lang w:val="fr-FR"/>
        </w:rPr>
        <w:t>activité du conjoint, du concubin, de la personne avec qui l</w:t>
      </w:r>
      <w:r w:rsidRPr="00A86354" w:rsidR="0006032C">
        <w:rPr>
          <w:rFonts w:ascii="Arial" w:hAnsi="Arial" w:cs="Arial"/>
          <w:sz w:val="20"/>
          <w:szCs w:val="20"/>
          <w:lang w:val="fr-FR"/>
        </w:rPr>
        <w:t>’</w:t>
      </w:r>
      <w:r w:rsidRPr="00A86354">
        <w:rPr>
          <w:rFonts w:ascii="Arial" w:hAnsi="Arial" w:cs="Arial"/>
          <w:sz w:val="20"/>
          <w:szCs w:val="20"/>
          <w:lang w:val="fr-FR"/>
        </w:rPr>
        <w:t>intéressé a conclu un pacte civil de solidarité, de l</w:t>
      </w:r>
      <w:r w:rsidRPr="00A86354" w:rsidR="0006032C">
        <w:rPr>
          <w:rFonts w:ascii="Arial" w:hAnsi="Arial" w:cs="Arial"/>
          <w:sz w:val="20"/>
          <w:szCs w:val="20"/>
          <w:lang w:val="fr-FR"/>
        </w:rPr>
        <w:t>’</w:t>
      </w:r>
      <w:r w:rsidRPr="00A86354">
        <w:rPr>
          <w:rFonts w:ascii="Arial" w:hAnsi="Arial" w:cs="Arial"/>
          <w:sz w:val="20"/>
          <w:szCs w:val="20"/>
          <w:lang w:val="fr-FR"/>
        </w:rPr>
        <w:t>aidant familial qui, vivant au foyer de l</w:t>
      </w:r>
      <w:r w:rsidRPr="00A86354" w:rsidR="0006032C">
        <w:rPr>
          <w:rFonts w:ascii="Arial" w:hAnsi="Arial" w:cs="Arial"/>
          <w:sz w:val="20"/>
          <w:szCs w:val="20"/>
          <w:lang w:val="fr-FR"/>
        </w:rPr>
        <w:t>’</w:t>
      </w:r>
      <w:r w:rsidRPr="00A86354">
        <w:rPr>
          <w:rFonts w:ascii="Arial" w:hAnsi="Arial" w:cs="Arial"/>
          <w:sz w:val="20"/>
          <w:szCs w:val="20"/>
          <w:lang w:val="fr-FR"/>
        </w:rPr>
        <w:t>intéressé, en assure l</w:t>
      </w:r>
      <w:r w:rsidRPr="00A86354" w:rsidR="0006032C">
        <w:rPr>
          <w:rFonts w:ascii="Arial" w:hAnsi="Arial" w:cs="Arial"/>
          <w:sz w:val="20"/>
          <w:szCs w:val="20"/>
          <w:lang w:val="fr-FR"/>
        </w:rPr>
        <w:t>’</w:t>
      </w:r>
      <w:r w:rsidRPr="00A86354">
        <w:rPr>
          <w:rFonts w:ascii="Arial" w:hAnsi="Arial" w:cs="Arial"/>
          <w:sz w:val="20"/>
          <w:szCs w:val="20"/>
          <w:lang w:val="fr-FR"/>
        </w:rPr>
        <w:t>aide effective, de ses parents même lorsque l</w:t>
      </w:r>
      <w:r w:rsidRPr="00A86354" w:rsidR="0006032C">
        <w:rPr>
          <w:rFonts w:ascii="Arial" w:hAnsi="Arial" w:cs="Arial"/>
          <w:sz w:val="20"/>
          <w:szCs w:val="20"/>
          <w:lang w:val="fr-FR"/>
        </w:rPr>
        <w:t>’</w:t>
      </w:r>
      <w:r w:rsidRPr="00A86354">
        <w:rPr>
          <w:rFonts w:ascii="Arial" w:hAnsi="Arial" w:cs="Arial"/>
          <w:sz w:val="20"/>
          <w:szCs w:val="20"/>
          <w:lang w:val="fr-FR"/>
        </w:rPr>
        <w:t>intéressé est domicilié chez eux</w:t>
      </w:r>
      <w:r w:rsidRPr="00A86354" w:rsidR="000807D5">
        <w:rPr>
          <w:rFonts w:ascii="Arial" w:hAnsi="Arial" w:cs="Arial"/>
          <w:sz w:val="20"/>
          <w:szCs w:val="20"/>
          <w:lang w:val="fr-FR"/>
        </w:rPr>
        <w:t> ;</w:t>
      </w:r>
    </w:p>
    <w:p w:rsidRPr="00A86354" w:rsidR="00EB2954" w:rsidP="00A86354" w:rsidRDefault="00EB2954" w14:paraId="71697FE0" w14:textId="77777777">
      <w:pPr>
        <w:ind w:left="709"/>
        <w:rPr>
          <w:rFonts w:ascii="Arial" w:hAnsi="Arial" w:cs="Arial"/>
          <w:sz w:val="20"/>
          <w:szCs w:val="20"/>
          <w:lang w:val="fr-FR"/>
        </w:rPr>
      </w:pPr>
    </w:p>
    <w:p w:rsidRPr="00A86354" w:rsidR="00EB2954" w:rsidP="00A86354" w:rsidRDefault="002C5D46" w14:paraId="775BA849" w14:textId="01EE32CC">
      <w:pPr>
        <w:ind w:left="709"/>
        <w:rPr>
          <w:rFonts w:ascii="Arial" w:hAnsi="Arial" w:cs="Arial"/>
          <w:sz w:val="20"/>
          <w:szCs w:val="20"/>
          <w:lang w:val="fr-FR"/>
        </w:rPr>
      </w:pPr>
      <w:r w:rsidRPr="00A86354">
        <w:rPr>
          <w:rFonts w:ascii="Arial" w:hAnsi="Arial" w:cs="Arial"/>
          <w:sz w:val="20"/>
          <w:szCs w:val="20"/>
          <w:lang w:val="fr-FR"/>
        </w:rPr>
        <w:t>[...]</w:t>
      </w:r>
      <w:r w:rsidRPr="00A86354" w:rsidR="00EB2954">
        <w:rPr>
          <w:rFonts w:ascii="Arial" w:hAnsi="Arial" w:cs="Arial"/>
          <w:sz w:val="20"/>
          <w:szCs w:val="20"/>
          <w:lang w:val="fr-FR"/>
        </w:rPr>
        <w:t xml:space="preserve"> </w:t>
      </w:r>
    </w:p>
    <w:p w:rsidRPr="00A86354" w:rsidR="00EB2954" w:rsidP="00A86354" w:rsidRDefault="00EB2954" w14:paraId="1253F8BA" w14:textId="77777777">
      <w:pPr>
        <w:ind w:left="709"/>
        <w:rPr>
          <w:rFonts w:ascii="Arial" w:hAnsi="Arial" w:cs="Arial"/>
          <w:sz w:val="20"/>
          <w:szCs w:val="20"/>
          <w:lang w:val="fr-FR"/>
        </w:rPr>
      </w:pPr>
    </w:p>
    <w:p w:rsidRPr="00A86354" w:rsidR="00EB2954" w:rsidP="00A86354" w:rsidRDefault="00EB2954" w14:paraId="3A79A2F4" w14:textId="77777777">
      <w:pPr>
        <w:ind w:left="709"/>
        <w:rPr>
          <w:rFonts w:ascii="Arial" w:hAnsi="Arial" w:cs="Arial"/>
          <w:b/>
          <w:bCs/>
          <w:sz w:val="20"/>
          <w:szCs w:val="20"/>
          <w:lang w:val="fr-FR"/>
        </w:rPr>
      </w:pPr>
      <w:r w:rsidRPr="00A86354">
        <w:rPr>
          <w:rFonts w:ascii="Arial" w:hAnsi="Arial" w:cs="Arial"/>
          <w:b/>
          <w:bCs/>
          <w:sz w:val="20"/>
          <w:szCs w:val="20"/>
          <w:lang w:val="fr-FR"/>
        </w:rPr>
        <w:t>Article L245-11</w:t>
      </w:r>
    </w:p>
    <w:p w:rsidRPr="00A86354" w:rsidR="00EB2954" w:rsidP="00A86354" w:rsidRDefault="00EB2954" w14:paraId="676D4AFF" w14:textId="77777777">
      <w:pPr>
        <w:ind w:left="709"/>
        <w:rPr>
          <w:rFonts w:ascii="Arial" w:hAnsi="Arial" w:cs="Arial"/>
          <w:sz w:val="20"/>
          <w:szCs w:val="20"/>
          <w:lang w:val="fr-FR"/>
        </w:rPr>
      </w:pPr>
    </w:p>
    <w:p w:rsidRPr="00A86354" w:rsidR="00EB2954" w:rsidP="00A86354" w:rsidRDefault="00EB2954" w14:paraId="66E3091A" w14:textId="36EEACFF">
      <w:pPr>
        <w:ind w:left="709"/>
        <w:rPr>
          <w:rFonts w:ascii="Arial" w:hAnsi="Arial" w:cs="Arial"/>
          <w:sz w:val="20"/>
          <w:szCs w:val="20"/>
          <w:lang w:val="fr-FR"/>
        </w:rPr>
      </w:pPr>
      <w:r w:rsidRPr="00A86354">
        <w:rPr>
          <w:rFonts w:ascii="Arial" w:hAnsi="Arial" w:cs="Arial"/>
          <w:sz w:val="20"/>
          <w:szCs w:val="20"/>
          <w:lang w:val="fr-FR"/>
        </w:rPr>
        <w:t>Les personnes handicapées hébergées ou accompagnées dans un établissement social ou médico-social ou hospitalisées dans un établissement de santé ont droit à la prestation de compensation. Un décret fixe les conditions de son attribution et précise, le cas échéant, en fonction de la situation de l</w:t>
      </w:r>
      <w:r w:rsidRPr="00A86354" w:rsidR="0006032C">
        <w:rPr>
          <w:rFonts w:ascii="Arial" w:hAnsi="Arial" w:cs="Arial"/>
          <w:sz w:val="20"/>
          <w:szCs w:val="20"/>
          <w:lang w:val="fr-FR"/>
        </w:rPr>
        <w:t>’</w:t>
      </w:r>
      <w:r w:rsidRPr="00A86354">
        <w:rPr>
          <w:rFonts w:ascii="Arial" w:hAnsi="Arial" w:cs="Arial"/>
          <w:sz w:val="20"/>
          <w:szCs w:val="20"/>
          <w:lang w:val="fr-FR"/>
        </w:rPr>
        <w:t>intéressé, la réduction qui peut lui être appliquée pendant la durée de l</w:t>
      </w:r>
      <w:r w:rsidRPr="00A86354" w:rsidR="0006032C">
        <w:rPr>
          <w:rFonts w:ascii="Arial" w:hAnsi="Arial" w:cs="Arial"/>
          <w:sz w:val="20"/>
          <w:szCs w:val="20"/>
          <w:lang w:val="fr-FR"/>
        </w:rPr>
        <w:t>’</w:t>
      </w:r>
      <w:r w:rsidRPr="00A86354">
        <w:rPr>
          <w:rFonts w:ascii="Arial" w:hAnsi="Arial" w:cs="Arial"/>
          <w:sz w:val="20"/>
          <w:szCs w:val="20"/>
          <w:lang w:val="fr-FR"/>
        </w:rPr>
        <w:t>hospitalisation, de l</w:t>
      </w:r>
      <w:r w:rsidRPr="00A86354" w:rsidR="0006032C">
        <w:rPr>
          <w:rFonts w:ascii="Arial" w:hAnsi="Arial" w:cs="Arial"/>
          <w:sz w:val="20"/>
          <w:szCs w:val="20"/>
          <w:lang w:val="fr-FR"/>
        </w:rPr>
        <w:t>’</w:t>
      </w:r>
      <w:r w:rsidRPr="00A86354">
        <w:rPr>
          <w:rFonts w:ascii="Arial" w:hAnsi="Arial" w:cs="Arial"/>
          <w:sz w:val="20"/>
          <w:szCs w:val="20"/>
          <w:lang w:val="fr-FR"/>
        </w:rPr>
        <w:t>accompagnement ou de l</w:t>
      </w:r>
      <w:r w:rsidRPr="00A86354" w:rsidR="0006032C">
        <w:rPr>
          <w:rFonts w:ascii="Arial" w:hAnsi="Arial" w:cs="Arial"/>
          <w:sz w:val="20"/>
          <w:szCs w:val="20"/>
          <w:lang w:val="fr-FR"/>
        </w:rPr>
        <w:t>’</w:t>
      </w:r>
      <w:r w:rsidRPr="00A86354">
        <w:rPr>
          <w:rFonts w:ascii="Arial" w:hAnsi="Arial" w:cs="Arial"/>
          <w:sz w:val="20"/>
          <w:szCs w:val="20"/>
          <w:lang w:val="fr-FR"/>
        </w:rPr>
        <w:t>hébergement, ou les modalités de sa suspension.</w:t>
      </w:r>
    </w:p>
    <w:p w:rsidRPr="00A86354" w:rsidR="00EB2954" w:rsidP="00A86354" w:rsidRDefault="00EB2954" w14:paraId="2EE11CF0" w14:textId="77777777">
      <w:pPr>
        <w:ind w:left="709"/>
        <w:rPr>
          <w:rFonts w:ascii="Arial" w:hAnsi="Arial" w:cs="Arial"/>
          <w:sz w:val="20"/>
          <w:szCs w:val="20"/>
          <w:lang w:val="fr-FR"/>
        </w:rPr>
      </w:pPr>
    </w:p>
    <w:p w:rsidRPr="00A86354" w:rsidR="00EB2954" w:rsidP="00A86354" w:rsidRDefault="00EB2954" w14:paraId="0D1FEBA6" w14:textId="77777777">
      <w:pPr>
        <w:ind w:left="709"/>
        <w:rPr>
          <w:rFonts w:ascii="Arial" w:hAnsi="Arial" w:cs="Arial"/>
          <w:b/>
          <w:bCs/>
          <w:sz w:val="20"/>
          <w:szCs w:val="20"/>
          <w:lang w:val="fr-FR"/>
        </w:rPr>
      </w:pPr>
      <w:r w:rsidRPr="00A86354">
        <w:rPr>
          <w:rFonts w:ascii="Arial" w:hAnsi="Arial" w:cs="Arial"/>
          <w:b/>
          <w:bCs/>
          <w:sz w:val="20"/>
          <w:szCs w:val="20"/>
          <w:lang w:val="fr-FR"/>
        </w:rPr>
        <w:t>Article L245-13</w:t>
      </w:r>
    </w:p>
    <w:p w:rsidRPr="00A86354" w:rsidR="00EB2954" w:rsidP="00A86354" w:rsidRDefault="00EB2954" w14:paraId="1C9FE539" w14:textId="77777777">
      <w:pPr>
        <w:ind w:left="709"/>
        <w:rPr>
          <w:rFonts w:ascii="Arial" w:hAnsi="Arial" w:cs="Arial"/>
          <w:sz w:val="20"/>
          <w:szCs w:val="20"/>
          <w:lang w:val="fr-FR"/>
        </w:rPr>
      </w:pPr>
    </w:p>
    <w:p w:rsidRPr="00A86354" w:rsidR="00EB2954" w:rsidP="00A86354" w:rsidRDefault="00EB2954" w14:paraId="3D296BBD" w14:textId="77777777">
      <w:pPr>
        <w:ind w:left="709"/>
        <w:rPr>
          <w:rFonts w:ascii="Arial" w:hAnsi="Arial" w:cs="Arial"/>
          <w:sz w:val="20"/>
          <w:szCs w:val="20"/>
          <w:lang w:val="fr-FR"/>
        </w:rPr>
      </w:pPr>
      <w:r w:rsidRPr="00A86354">
        <w:rPr>
          <w:rFonts w:ascii="Arial" w:hAnsi="Arial" w:cs="Arial"/>
          <w:sz w:val="20"/>
          <w:szCs w:val="20"/>
          <w:lang w:val="fr-FR"/>
        </w:rPr>
        <w:t>La prestation de compensation est versée mensuellement.</w:t>
      </w:r>
    </w:p>
    <w:p w:rsidRPr="00A86354" w:rsidR="00EB2954" w:rsidP="00A86354" w:rsidRDefault="00EB2954" w14:paraId="7916F5B1" w14:textId="77777777">
      <w:pPr>
        <w:ind w:left="709"/>
        <w:rPr>
          <w:rFonts w:ascii="Arial" w:hAnsi="Arial" w:cs="Arial"/>
          <w:lang w:val="fr-FR"/>
        </w:rPr>
      </w:pPr>
    </w:p>
    <w:p w:rsidRPr="00A86354" w:rsidR="00EB2954" w:rsidP="00CE016A" w:rsidRDefault="00EB2954" w14:paraId="00DC84CF" w14:textId="7324F43B">
      <w:pPr>
        <w:pStyle w:val="ListParagraph"/>
        <w:numPr>
          <w:ilvl w:val="0"/>
          <w:numId w:val="1"/>
        </w:numPr>
        <w:ind w:left="0" w:firstLine="0"/>
        <w:rPr>
          <w:rFonts w:cs="Arial"/>
          <w:lang w:val="fr-FR"/>
        </w:rPr>
      </w:pPr>
      <w:r w:rsidRPr="00A86354">
        <w:rPr>
          <w:rFonts w:cs="Arial"/>
          <w:lang w:val="fr-FR"/>
        </w:rPr>
        <w:t>Conformément au chapitre 1 de l</w:t>
      </w:r>
      <w:r w:rsidRPr="00A86354" w:rsidR="0006032C">
        <w:rPr>
          <w:rFonts w:cs="Arial"/>
          <w:lang w:val="fr-FR"/>
        </w:rPr>
        <w:t>’</w:t>
      </w:r>
      <w:r w:rsidRPr="00A86354">
        <w:rPr>
          <w:rFonts w:cs="Arial"/>
          <w:lang w:val="fr-FR"/>
        </w:rPr>
        <w:t>annexe 2-5 du code de l</w:t>
      </w:r>
      <w:r w:rsidRPr="00A86354" w:rsidR="0006032C">
        <w:rPr>
          <w:rFonts w:cs="Arial"/>
          <w:lang w:val="fr-FR"/>
        </w:rPr>
        <w:t>’</w:t>
      </w:r>
      <w:r w:rsidRPr="00A86354">
        <w:rPr>
          <w:rFonts w:cs="Arial"/>
          <w:lang w:val="fr-FR"/>
        </w:rPr>
        <w:t>action sociale et des familles, les critères de handicap pour l</w:t>
      </w:r>
      <w:r w:rsidRPr="00A86354" w:rsidR="0006032C">
        <w:rPr>
          <w:rFonts w:cs="Arial"/>
          <w:lang w:val="fr-FR"/>
        </w:rPr>
        <w:t>’</w:t>
      </w:r>
      <w:r w:rsidRPr="00A86354">
        <w:rPr>
          <w:rFonts w:cs="Arial"/>
          <w:lang w:val="fr-FR"/>
        </w:rPr>
        <w:t>accès à la prestation de compensation sont les suivants</w:t>
      </w:r>
      <w:r w:rsidRPr="00A86354" w:rsidR="000807D5">
        <w:rPr>
          <w:rFonts w:cs="Arial"/>
          <w:lang w:val="fr-FR"/>
        </w:rPr>
        <w:t> :</w:t>
      </w:r>
      <w:r w:rsidRPr="00A86354">
        <w:rPr>
          <w:rFonts w:cs="Arial"/>
          <w:lang w:val="fr-FR"/>
        </w:rPr>
        <w:t xml:space="preserve"> </w:t>
      </w:r>
    </w:p>
    <w:p w:rsidRPr="00A86354" w:rsidR="00EB2954" w:rsidP="00EB2954" w:rsidRDefault="00EB2954" w14:paraId="26DFB645" w14:textId="77777777">
      <w:pPr>
        <w:rPr>
          <w:rFonts w:ascii="Arial" w:hAnsi="Arial" w:cs="Arial"/>
          <w:lang w:val="fr-FR"/>
        </w:rPr>
      </w:pPr>
    </w:p>
    <w:p w:rsidRPr="00A86354" w:rsidR="00EB2954" w:rsidP="00A86354" w:rsidRDefault="000807D5" w14:paraId="6F6029F7" w14:textId="534263AC">
      <w:pPr>
        <w:ind w:left="709"/>
        <w:rPr>
          <w:rFonts w:ascii="Arial" w:hAnsi="Arial" w:cs="Arial"/>
          <w:sz w:val="20"/>
          <w:szCs w:val="20"/>
          <w:lang w:val="fr-FR"/>
        </w:rPr>
      </w:pPr>
      <w:r w:rsidRPr="00A86354">
        <w:rPr>
          <w:rFonts w:ascii="Arial" w:hAnsi="Arial" w:cs="Arial"/>
          <w:sz w:val="20"/>
          <w:szCs w:val="20"/>
          <w:lang w:val="fr-FR"/>
        </w:rPr>
        <w:t>« </w:t>
      </w:r>
      <w:r w:rsidRPr="00A86354" w:rsidR="00EB2954">
        <w:rPr>
          <w:rFonts w:ascii="Arial" w:hAnsi="Arial" w:cs="Arial"/>
          <w:sz w:val="20"/>
          <w:szCs w:val="20"/>
          <w:lang w:val="fr-FR"/>
        </w:rPr>
        <w:t>a) Les critères à prendre en compte sont les suivants</w:t>
      </w:r>
      <w:r w:rsidRPr="00A86354">
        <w:rPr>
          <w:rFonts w:ascii="Arial" w:hAnsi="Arial" w:cs="Arial"/>
          <w:sz w:val="20"/>
          <w:szCs w:val="20"/>
          <w:lang w:val="fr-FR"/>
        </w:rPr>
        <w:t> :</w:t>
      </w:r>
    </w:p>
    <w:p w:rsidRPr="00A86354" w:rsidR="00EB2954" w:rsidP="00A86354" w:rsidRDefault="00EB2954" w14:paraId="5736D736" w14:textId="77777777">
      <w:pPr>
        <w:ind w:left="709"/>
        <w:rPr>
          <w:rFonts w:ascii="Arial" w:hAnsi="Arial" w:cs="Arial"/>
          <w:sz w:val="20"/>
          <w:szCs w:val="20"/>
          <w:lang w:val="fr-FR"/>
        </w:rPr>
      </w:pPr>
    </w:p>
    <w:p w:rsidRPr="00A86354" w:rsidR="00EB2954" w:rsidP="00A86354" w:rsidRDefault="00EB2954" w14:paraId="6DEB1931" w14:textId="4B814AEC">
      <w:pPr>
        <w:ind w:left="709"/>
        <w:rPr>
          <w:rFonts w:ascii="Arial" w:hAnsi="Arial" w:cs="Arial"/>
          <w:sz w:val="20"/>
          <w:szCs w:val="20"/>
          <w:lang w:val="fr-FR"/>
        </w:rPr>
      </w:pPr>
      <w:r w:rsidRPr="00A86354">
        <w:rPr>
          <w:rFonts w:ascii="Arial" w:hAnsi="Arial" w:cs="Arial"/>
          <w:sz w:val="20"/>
          <w:szCs w:val="20"/>
          <w:lang w:val="fr-FR"/>
        </w:rPr>
        <w:t>Présenter une difficulté absolue pour la réalisation d</w:t>
      </w:r>
      <w:r w:rsidRPr="00A86354" w:rsidR="0006032C">
        <w:rPr>
          <w:rFonts w:ascii="Arial" w:hAnsi="Arial" w:cs="Arial"/>
          <w:sz w:val="20"/>
          <w:szCs w:val="20"/>
          <w:lang w:val="fr-FR"/>
        </w:rPr>
        <w:t>’</w:t>
      </w:r>
      <w:r w:rsidRPr="00A86354">
        <w:rPr>
          <w:rFonts w:ascii="Arial" w:hAnsi="Arial" w:cs="Arial"/>
          <w:sz w:val="20"/>
          <w:szCs w:val="20"/>
          <w:lang w:val="fr-FR"/>
        </w:rPr>
        <w:t>une activité ou une difficulté grave pour la réalisation d</w:t>
      </w:r>
      <w:r w:rsidRPr="00A86354" w:rsidR="0006032C">
        <w:rPr>
          <w:rFonts w:ascii="Arial" w:hAnsi="Arial" w:cs="Arial"/>
          <w:sz w:val="20"/>
          <w:szCs w:val="20"/>
          <w:lang w:val="fr-FR"/>
        </w:rPr>
        <w:t>’</w:t>
      </w:r>
      <w:r w:rsidRPr="00A86354">
        <w:rPr>
          <w:rFonts w:ascii="Arial" w:hAnsi="Arial" w:cs="Arial"/>
          <w:sz w:val="20"/>
          <w:szCs w:val="20"/>
          <w:lang w:val="fr-FR"/>
        </w:rPr>
        <w:t>au moins deux des activités dont la liste figure au b.</w:t>
      </w:r>
    </w:p>
    <w:p w:rsidRPr="00A86354" w:rsidR="00EB2954" w:rsidP="00A86354" w:rsidRDefault="00EB2954" w14:paraId="6F326030" w14:textId="77777777">
      <w:pPr>
        <w:ind w:left="709"/>
        <w:rPr>
          <w:rFonts w:ascii="Arial" w:hAnsi="Arial" w:cs="Arial"/>
          <w:sz w:val="20"/>
          <w:szCs w:val="20"/>
          <w:lang w:val="fr-FR"/>
        </w:rPr>
      </w:pPr>
    </w:p>
    <w:p w:rsidRPr="00A86354" w:rsidR="00EB2954" w:rsidP="00A86354" w:rsidRDefault="00EB2954" w14:paraId="7AA10726" w14:textId="30457361">
      <w:pPr>
        <w:ind w:left="709"/>
        <w:rPr>
          <w:rFonts w:ascii="Arial" w:hAnsi="Arial" w:cs="Arial"/>
          <w:sz w:val="20"/>
          <w:szCs w:val="20"/>
          <w:lang w:val="fr-FR"/>
        </w:rPr>
      </w:pPr>
      <w:r w:rsidRPr="00A86354">
        <w:rPr>
          <w:rFonts w:ascii="Arial" w:hAnsi="Arial" w:cs="Arial"/>
          <w:sz w:val="20"/>
          <w:szCs w:val="20"/>
          <w:lang w:val="fr-FR"/>
        </w:rPr>
        <w:t>Les difficultés doivent être définitives ou d</w:t>
      </w:r>
      <w:r w:rsidRPr="00A86354" w:rsidR="0006032C">
        <w:rPr>
          <w:rFonts w:ascii="Arial" w:hAnsi="Arial" w:cs="Arial"/>
          <w:sz w:val="20"/>
          <w:szCs w:val="20"/>
          <w:lang w:val="fr-FR"/>
        </w:rPr>
        <w:t>’</w:t>
      </w:r>
      <w:r w:rsidRPr="00A86354">
        <w:rPr>
          <w:rFonts w:ascii="Arial" w:hAnsi="Arial" w:cs="Arial"/>
          <w:sz w:val="20"/>
          <w:szCs w:val="20"/>
          <w:lang w:val="fr-FR"/>
        </w:rPr>
        <w:t>une durée prévisible d</w:t>
      </w:r>
      <w:r w:rsidRPr="00A86354" w:rsidR="0006032C">
        <w:rPr>
          <w:rFonts w:ascii="Arial" w:hAnsi="Arial" w:cs="Arial"/>
          <w:sz w:val="20"/>
          <w:szCs w:val="20"/>
          <w:lang w:val="fr-FR"/>
        </w:rPr>
        <w:t>’</w:t>
      </w:r>
      <w:r w:rsidRPr="00A86354">
        <w:rPr>
          <w:rFonts w:ascii="Arial" w:hAnsi="Arial" w:cs="Arial"/>
          <w:sz w:val="20"/>
          <w:szCs w:val="20"/>
          <w:lang w:val="fr-FR"/>
        </w:rPr>
        <w:t>au moins un an. Il n</w:t>
      </w:r>
      <w:r w:rsidRPr="00A86354" w:rsidR="0006032C">
        <w:rPr>
          <w:rFonts w:ascii="Arial" w:hAnsi="Arial" w:cs="Arial"/>
          <w:sz w:val="20"/>
          <w:szCs w:val="20"/>
          <w:lang w:val="fr-FR"/>
        </w:rPr>
        <w:t>’</w:t>
      </w:r>
      <w:r w:rsidRPr="00A86354">
        <w:rPr>
          <w:rFonts w:ascii="Arial" w:hAnsi="Arial" w:cs="Arial"/>
          <w:sz w:val="20"/>
          <w:szCs w:val="20"/>
          <w:lang w:val="fr-FR"/>
        </w:rPr>
        <w:t>est cependant pas nécessaire que l</w:t>
      </w:r>
      <w:r w:rsidRPr="00A86354" w:rsidR="0006032C">
        <w:rPr>
          <w:rFonts w:ascii="Arial" w:hAnsi="Arial" w:cs="Arial"/>
          <w:sz w:val="20"/>
          <w:szCs w:val="20"/>
          <w:lang w:val="fr-FR"/>
        </w:rPr>
        <w:t>’</w:t>
      </w:r>
      <w:r w:rsidRPr="00A86354">
        <w:rPr>
          <w:rFonts w:ascii="Arial" w:hAnsi="Arial" w:cs="Arial"/>
          <w:sz w:val="20"/>
          <w:szCs w:val="20"/>
          <w:lang w:val="fr-FR"/>
        </w:rPr>
        <w:t>état de la personne soit stabilisé.</w:t>
      </w:r>
    </w:p>
    <w:p w:rsidRPr="00A86354" w:rsidR="00EB2954" w:rsidP="00A86354" w:rsidRDefault="00EB2954" w14:paraId="0E9C246F" w14:textId="77777777">
      <w:pPr>
        <w:ind w:left="709"/>
        <w:rPr>
          <w:rFonts w:ascii="Arial" w:hAnsi="Arial" w:cs="Arial"/>
          <w:sz w:val="20"/>
          <w:szCs w:val="20"/>
          <w:lang w:val="fr-FR"/>
        </w:rPr>
      </w:pPr>
    </w:p>
    <w:p w:rsidRPr="00A86354" w:rsidR="00EB2954" w:rsidP="00A86354" w:rsidRDefault="00EB2954" w14:paraId="172E71E5" w14:textId="20C7ED35">
      <w:pPr>
        <w:ind w:left="709"/>
        <w:rPr>
          <w:rFonts w:ascii="Arial" w:hAnsi="Arial" w:cs="Arial"/>
          <w:sz w:val="20"/>
          <w:szCs w:val="20"/>
          <w:lang w:val="fr-FR"/>
        </w:rPr>
      </w:pPr>
      <w:r w:rsidRPr="00A86354">
        <w:rPr>
          <w:rFonts w:ascii="Arial" w:hAnsi="Arial" w:cs="Arial"/>
          <w:sz w:val="20"/>
          <w:szCs w:val="20"/>
          <w:lang w:val="fr-FR"/>
        </w:rPr>
        <w:t>b) Liste des activités à prendre en compte</w:t>
      </w:r>
      <w:r w:rsidRPr="00A86354" w:rsidR="000807D5">
        <w:rPr>
          <w:rFonts w:ascii="Arial" w:hAnsi="Arial" w:cs="Arial"/>
          <w:sz w:val="20"/>
          <w:szCs w:val="20"/>
          <w:lang w:val="fr-FR"/>
        </w:rPr>
        <w:t> :</w:t>
      </w:r>
    </w:p>
    <w:p w:rsidRPr="00A86354" w:rsidR="00394CAB" w:rsidP="00A86354" w:rsidRDefault="00394CAB" w14:paraId="30E3D75B" w14:textId="77777777">
      <w:pPr>
        <w:ind w:left="709"/>
        <w:rPr>
          <w:rFonts w:ascii="Arial" w:hAnsi="Arial" w:cs="Arial"/>
          <w:sz w:val="20"/>
          <w:szCs w:val="20"/>
          <w:lang w:val="fr-FR"/>
        </w:rPr>
      </w:pPr>
    </w:p>
    <w:p w:rsidRPr="00A86354" w:rsidR="00EB2954" w:rsidP="00A86354" w:rsidRDefault="00EB2954" w14:paraId="4409A406" w14:textId="2FC99461">
      <w:pPr>
        <w:ind w:left="709"/>
        <w:rPr>
          <w:rFonts w:ascii="Arial" w:hAnsi="Arial" w:cs="Arial"/>
          <w:sz w:val="20"/>
          <w:szCs w:val="20"/>
          <w:lang w:val="fr-FR"/>
        </w:rPr>
      </w:pPr>
      <w:r w:rsidRPr="00A86354">
        <w:rPr>
          <w:rFonts w:ascii="Arial" w:hAnsi="Arial" w:cs="Arial"/>
          <w:sz w:val="20"/>
          <w:szCs w:val="20"/>
          <w:lang w:val="fr-FR"/>
        </w:rPr>
        <w:t>Activités du domaine 1</w:t>
      </w:r>
      <w:r w:rsidRPr="00A86354" w:rsidR="000807D5">
        <w:rPr>
          <w:rFonts w:ascii="Arial" w:hAnsi="Arial" w:cs="Arial"/>
          <w:sz w:val="20"/>
          <w:szCs w:val="20"/>
          <w:lang w:val="fr-FR"/>
        </w:rPr>
        <w:t> :</w:t>
      </w:r>
      <w:r w:rsidRPr="00A86354">
        <w:rPr>
          <w:rFonts w:ascii="Arial" w:hAnsi="Arial" w:cs="Arial"/>
          <w:sz w:val="20"/>
          <w:szCs w:val="20"/>
          <w:lang w:val="fr-FR"/>
        </w:rPr>
        <w:t xml:space="preserve"> mobilité</w:t>
      </w:r>
      <w:r w:rsidRPr="00A86354" w:rsidR="000807D5">
        <w:rPr>
          <w:rFonts w:ascii="Arial" w:hAnsi="Arial" w:cs="Arial"/>
          <w:sz w:val="20"/>
          <w:szCs w:val="20"/>
          <w:lang w:val="fr-FR"/>
        </w:rPr>
        <w:t> :</w:t>
      </w:r>
      <w:r w:rsidRPr="00A86354">
        <w:rPr>
          <w:rFonts w:ascii="Arial" w:hAnsi="Arial" w:cs="Arial"/>
          <w:sz w:val="20"/>
          <w:szCs w:val="20"/>
          <w:lang w:val="fr-FR"/>
        </w:rPr>
        <w:t>– se mettre debout</w:t>
      </w:r>
      <w:r w:rsidRPr="00A86354" w:rsidR="000807D5">
        <w:rPr>
          <w:rFonts w:ascii="Arial" w:hAnsi="Arial" w:cs="Arial"/>
          <w:sz w:val="20"/>
          <w:szCs w:val="20"/>
          <w:lang w:val="fr-FR"/>
        </w:rPr>
        <w:t> ;</w:t>
      </w:r>
      <w:r w:rsidRPr="00A86354">
        <w:rPr>
          <w:rFonts w:ascii="Arial" w:hAnsi="Arial" w:cs="Arial"/>
          <w:sz w:val="20"/>
          <w:szCs w:val="20"/>
          <w:lang w:val="fr-FR"/>
        </w:rPr>
        <w:t>– faire ses transferts</w:t>
      </w:r>
      <w:r w:rsidRPr="00A86354" w:rsidR="000807D5">
        <w:rPr>
          <w:rFonts w:ascii="Arial" w:hAnsi="Arial" w:cs="Arial"/>
          <w:sz w:val="20"/>
          <w:szCs w:val="20"/>
          <w:lang w:val="fr-FR"/>
        </w:rPr>
        <w:t> ;</w:t>
      </w:r>
      <w:r w:rsidRPr="00A86354">
        <w:rPr>
          <w:rFonts w:ascii="Arial" w:hAnsi="Arial" w:cs="Arial"/>
          <w:sz w:val="20"/>
          <w:szCs w:val="20"/>
          <w:lang w:val="fr-FR"/>
        </w:rPr>
        <w:t>– marcher</w:t>
      </w:r>
      <w:r w:rsidRPr="00A86354" w:rsidR="000807D5">
        <w:rPr>
          <w:rFonts w:ascii="Arial" w:hAnsi="Arial" w:cs="Arial"/>
          <w:sz w:val="20"/>
          <w:szCs w:val="20"/>
          <w:lang w:val="fr-FR"/>
        </w:rPr>
        <w:t> ;</w:t>
      </w:r>
      <w:r w:rsidRPr="00A86354">
        <w:rPr>
          <w:rFonts w:ascii="Arial" w:hAnsi="Arial" w:cs="Arial"/>
          <w:sz w:val="20"/>
          <w:szCs w:val="20"/>
          <w:lang w:val="fr-FR"/>
        </w:rPr>
        <w:t>– se déplacer (dans le logement, à l</w:t>
      </w:r>
      <w:r w:rsidRPr="00A86354" w:rsidR="0006032C">
        <w:rPr>
          <w:rFonts w:ascii="Arial" w:hAnsi="Arial" w:cs="Arial"/>
          <w:sz w:val="20"/>
          <w:szCs w:val="20"/>
          <w:lang w:val="fr-FR"/>
        </w:rPr>
        <w:t>’</w:t>
      </w:r>
      <w:r w:rsidRPr="00A86354">
        <w:rPr>
          <w:rFonts w:ascii="Arial" w:hAnsi="Arial" w:cs="Arial"/>
          <w:sz w:val="20"/>
          <w:szCs w:val="20"/>
          <w:lang w:val="fr-FR"/>
        </w:rPr>
        <w:t>extérieur)</w:t>
      </w:r>
      <w:r w:rsidRPr="00A86354" w:rsidR="000807D5">
        <w:rPr>
          <w:rFonts w:ascii="Arial" w:hAnsi="Arial" w:cs="Arial"/>
          <w:sz w:val="20"/>
          <w:szCs w:val="20"/>
          <w:lang w:val="fr-FR"/>
        </w:rPr>
        <w:t> ;</w:t>
      </w:r>
      <w:r w:rsidRPr="00A86354">
        <w:rPr>
          <w:rFonts w:ascii="Arial" w:hAnsi="Arial" w:cs="Arial"/>
          <w:sz w:val="20"/>
          <w:szCs w:val="20"/>
          <w:lang w:val="fr-FR"/>
        </w:rPr>
        <w:t>– avoir la préhension de la main dominante</w:t>
      </w:r>
      <w:r w:rsidRPr="00A86354" w:rsidR="000807D5">
        <w:rPr>
          <w:rFonts w:ascii="Arial" w:hAnsi="Arial" w:cs="Arial"/>
          <w:sz w:val="20"/>
          <w:szCs w:val="20"/>
          <w:lang w:val="fr-FR"/>
        </w:rPr>
        <w:t> ;</w:t>
      </w:r>
      <w:r w:rsidRPr="00A86354">
        <w:rPr>
          <w:rFonts w:ascii="Arial" w:hAnsi="Arial" w:cs="Arial"/>
          <w:sz w:val="20"/>
          <w:szCs w:val="20"/>
          <w:lang w:val="fr-FR"/>
        </w:rPr>
        <w:t>– avoir la préhension de la main non dominante</w:t>
      </w:r>
      <w:r w:rsidRPr="00A86354" w:rsidR="000807D5">
        <w:rPr>
          <w:rFonts w:ascii="Arial" w:hAnsi="Arial" w:cs="Arial"/>
          <w:sz w:val="20"/>
          <w:szCs w:val="20"/>
          <w:lang w:val="fr-FR"/>
        </w:rPr>
        <w:t> ;</w:t>
      </w:r>
      <w:r w:rsidRPr="00A86354">
        <w:rPr>
          <w:rFonts w:ascii="Arial" w:hAnsi="Arial" w:cs="Arial"/>
          <w:sz w:val="20"/>
          <w:szCs w:val="20"/>
          <w:lang w:val="fr-FR"/>
        </w:rPr>
        <w:t>– avoir des activités de motricité fine. Activités du domaine 2</w:t>
      </w:r>
      <w:r w:rsidRPr="00A86354" w:rsidR="000807D5">
        <w:rPr>
          <w:rFonts w:ascii="Arial" w:hAnsi="Arial" w:cs="Arial"/>
          <w:sz w:val="20"/>
          <w:szCs w:val="20"/>
          <w:lang w:val="fr-FR"/>
        </w:rPr>
        <w:t> :</w:t>
      </w:r>
      <w:r w:rsidRPr="00A86354">
        <w:rPr>
          <w:rFonts w:ascii="Arial" w:hAnsi="Arial" w:cs="Arial"/>
          <w:sz w:val="20"/>
          <w:szCs w:val="20"/>
          <w:lang w:val="fr-FR"/>
        </w:rPr>
        <w:t xml:space="preserve"> entretien personnel</w:t>
      </w:r>
      <w:r w:rsidRPr="00A86354" w:rsidR="000807D5">
        <w:rPr>
          <w:rFonts w:ascii="Arial" w:hAnsi="Arial" w:cs="Arial"/>
          <w:sz w:val="20"/>
          <w:szCs w:val="20"/>
          <w:lang w:val="fr-FR"/>
        </w:rPr>
        <w:t> :</w:t>
      </w:r>
      <w:r w:rsidRPr="00A86354">
        <w:rPr>
          <w:rFonts w:ascii="Arial" w:hAnsi="Arial" w:cs="Arial"/>
          <w:sz w:val="20"/>
          <w:szCs w:val="20"/>
          <w:lang w:val="fr-FR"/>
        </w:rPr>
        <w:t>– se laver</w:t>
      </w:r>
      <w:r w:rsidRPr="00A86354" w:rsidR="000807D5">
        <w:rPr>
          <w:rFonts w:ascii="Arial" w:hAnsi="Arial" w:cs="Arial"/>
          <w:sz w:val="20"/>
          <w:szCs w:val="20"/>
          <w:lang w:val="fr-FR"/>
        </w:rPr>
        <w:t> ;</w:t>
      </w:r>
      <w:r w:rsidRPr="00A86354">
        <w:rPr>
          <w:rFonts w:ascii="Arial" w:hAnsi="Arial" w:cs="Arial"/>
          <w:sz w:val="20"/>
          <w:szCs w:val="20"/>
          <w:lang w:val="fr-FR"/>
        </w:rPr>
        <w:t>– assurer l</w:t>
      </w:r>
      <w:r w:rsidRPr="00A86354" w:rsidR="0006032C">
        <w:rPr>
          <w:rFonts w:ascii="Arial" w:hAnsi="Arial" w:cs="Arial"/>
          <w:sz w:val="20"/>
          <w:szCs w:val="20"/>
          <w:lang w:val="fr-FR"/>
        </w:rPr>
        <w:t>’</w:t>
      </w:r>
      <w:r w:rsidRPr="00A86354">
        <w:rPr>
          <w:rFonts w:ascii="Arial" w:hAnsi="Arial" w:cs="Arial"/>
          <w:sz w:val="20"/>
          <w:szCs w:val="20"/>
          <w:lang w:val="fr-FR"/>
        </w:rPr>
        <w:t>élimination et utiliser les toilettes</w:t>
      </w:r>
      <w:r w:rsidRPr="00A86354" w:rsidR="000807D5">
        <w:rPr>
          <w:rFonts w:ascii="Arial" w:hAnsi="Arial" w:cs="Arial"/>
          <w:sz w:val="20"/>
          <w:szCs w:val="20"/>
          <w:lang w:val="fr-FR"/>
        </w:rPr>
        <w:t> ;</w:t>
      </w:r>
      <w:r w:rsidRPr="00A86354">
        <w:rPr>
          <w:rFonts w:ascii="Arial" w:hAnsi="Arial" w:cs="Arial"/>
          <w:sz w:val="20"/>
          <w:szCs w:val="20"/>
          <w:lang w:val="fr-FR"/>
        </w:rPr>
        <w:t>– s</w:t>
      </w:r>
      <w:r w:rsidRPr="00A86354" w:rsidR="0006032C">
        <w:rPr>
          <w:rFonts w:ascii="Arial" w:hAnsi="Arial" w:cs="Arial"/>
          <w:sz w:val="20"/>
          <w:szCs w:val="20"/>
          <w:lang w:val="fr-FR"/>
        </w:rPr>
        <w:t>’</w:t>
      </w:r>
      <w:r w:rsidRPr="00A86354">
        <w:rPr>
          <w:rFonts w:ascii="Arial" w:hAnsi="Arial" w:cs="Arial"/>
          <w:sz w:val="20"/>
          <w:szCs w:val="20"/>
          <w:lang w:val="fr-FR"/>
        </w:rPr>
        <w:t>habiller</w:t>
      </w:r>
      <w:r w:rsidRPr="00A86354" w:rsidR="000807D5">
        <w:rPr>
          <w:rFonts w:ascii="Arial" w:hAnsi="Arial" w:cs="Arial"/>
          <w:sz w:val="20"/>
          <w:szCs w:val="20"/>
          <w:lang w:val="fr-FR"/>
        </w:rPr>
        <w:t> ;</w:t>
      </w:r>
      <w:r w:rsidRPr="00A86354">
        <w:rPr>
          <w:rFonts w:ascii="Arial" w:hAnsi="Arial" w:cs="Arial"/>
          <w:sz w:val="20"/>
          <w:szCs w:val="20"/>
          <w:lang w:val="fr-FR"/>
        </w:rPr>
        <w:t>– prendre ses repas. Activités du domaine 3</w:t>
      </w:r>
      <w:r w:rsidRPr="00A86354" w:rsidR="000807D5">
        <w:rPr>
          <w:rFonts w:ascii="Arial" w:hAnsi="Arial" w:cs="Arial"/>
          <w:sz w:val="20"/>
          <w:szCs w:val="20"/>
          <w:lang w:val="fr-FR"/>
        </w:rPr>
        <w:t> :</w:t>
      </w:r>
      <w:r w:rsidRPr="00A86354">
        <w:rPr>
          <w:rFonts w:ascii="Arial" w:hAnsi="Arial" w:cs="Arial"/>
          <w:sz w:val="20"/>
          <w:szCs w:val="20"/>
          <w:lang w:val="fr-FR"/>
        </w:rPr>
        <w:t xml:space="preserve"> communication</w:t>
      </w:r>
      <w:r w:rsidRPr="00A86354" w:rsidR="000807D5">
        <w:rPr>
          <w:rFonts w:ascii="Arial" w:hAnsi="Arial" w:cs="Arial"/>
          <w:sz w:val="20"/>
          <w:szCs w:val="20"/>
          <w:lang w:val="fr-FR"/>
        </w:rPr>
        <w:t> :</w:t>
      </w:r>
      <w:r w:rsidRPr="00A86354">
        <w:rPr>
          <w:rFonts w:ascii="Arial" w:hAnsi="Arial" w:cs="Arial"/>
          <w:sz w:val="20"/>
          <w:szCs w:val="20"/>
          <w:lang w:val="fr-FR"/>
        </w:rPr>
        <w:t>– parler</w:t>
      </w:r>
      <w:r w:rsidRPr="00A86354" w:rsidR="000807D5">
        <w:rPr>
          <w:rFonts w:ascii="Arial" w:hAnsi="Arial" w:cs="Arial"/>
          <w:sz w:val="20"/>
          <w:szCs w:val="20"/>
          <w:lang w:val="fr-FR"/>
        </w:rPr>
        <w:t> ;</w:t>
      </w:r>
      <w:r w:rsidRPr="00A86354">
        <w:rPr>
          <w:rFonts w:ascii="Arial" w:hAnsi="Arial" w:cs="Arial"/>
          <w:sz w:val="20"/>
          <w:szCs w:val="20"/>
          <w:lang w:val="fr-FR"/>
        </w:rPr>
        <w:t>– entendre (percevoir les sons et comprendre)</w:t>
      </w:r>
      <w:r w:rsidRPr="00A86354" w:rsidR="000807D5">
        <w:rPr>
          <w:rFonts w:ascii="Arial" w:hAnsi="Arial" w:cs="Arial"/>
          <w:sz w:val="20"/>
          <w:szCs w:val="20"/>
          <w:lang w:val="fr-FR"/>
        </w:rPr>
        <w:t> ;</w:t>
      </w:r>
      <w:r w:rsidRPr="00A86354">
        <w:rPr>
          <w:rFonts w:ascii="Arial" w:hAnsi="Arial" w:cs="Arial"/>
          <w:sz w:val="20"/>
          <w:szCs w:val="20"/>
          <w:lang w:val="fr-FR"/>
        </w:rPr>
        <w:t>– voir (distinguer et identifier)</w:t>
      </w:r>
      <w:r w:rsidRPr="00A86354" w:rsidR="000807D5">
        <w:rPr>
          <w:rFonts w:ascii="Arial" w:hAnsi="Arial" w:cs="Arial"/>
          <w:sz w:val="20"/>
          <w:szCs w:val="20"/>
          <w:lang w:val="fr-FR"/>
        </w:rPr>
        <w:t> ;</w:t>
      </w:r>
      <w:r w:rsidRPr="00A86354">
        <w:rPr>
          <w:rFonts w:ascii="Arial" w:hAnsi="Arial" w:cs="Arial"/>
          <w:sz w:val="20"/>
          <w:szCs w:val="20"/>
          <w:lang w:val="fr-FR"/>
        </w:rPr>
        <w:t xml:space="preserve"> – utiliser des appareils et techniques de communication. Activités du domaine 4</w:t>
      </w:r>
      <w:r w:rsidRPr="00A86354" w:rsidR="000807D5">
        <w:rPr>
          <w:rFonts w:ascii="Arial" w:hAnsi="Arial" w:cs="Arial"/>
          <w:sz w:val="20"/>
          <w:szCs w:val="20"/>
          <w:lang w:val="fr-FR"/>
        </w:rPr>
        <w:t> :</w:t>
      </w:r>
      <w:r w:rsidRPr="00A86354">
        <w:rPr>
          <w:rFonts w:ascii="Arial" w:hAnsi="Arial" w:cs="Arial"/>
          <w:sz w:val="20"/>
          <w:szCs w:val="20"/>
          <w:lang w:val="fr-FR"/>
        </w:rPr>
        <w:t xml:space="preserve"> tâches et exigences générales, relations avec autrui</w:t>
      </w:r>
      <w:r w:rsidRPr="00A86354" w:rsidR="000807D5">
        <w:rPr>
          <w:rFonts w:ascii="Arial" w:hAnsi="Arial" w:cs="Arial"/>
          <w:sz w:val="20"/>
          <w:szCs w:val="20"/>
          <w:lang w:val="fr-FR"/>
        </w:rPr>
        <w:t> :</w:t>
      </w:r>
      <w:r w:rsidRPr="00A86354">
        <w:rPr>
          <w:rFonts w:ascii="Arial" w:hAnsi="Arial" w:cs="Arial"/>
          <w:sz w:val="20"/>
          <w:szCs w:val="20"/>
          <w:lang w:val="fr-FR"/>
        </w:rPr>
        <w:t xml:space="preserve"> – s</w:t>
      </w:r>
      <w:r w:rsidRPr="00A86354" w:rsidR="0006032C">
        <w:rPr>
          <w:rFonts w:ascii="Arial" w:hAnsi="Arial" w:cs="Arial"/>
          <w:sz w:val="20"/>
          <w:szCs w:val="20"/>
          <w:lang w:val="fr-FR"/>
        </w:rPr>
        <w:t>’</w:t>
      </w:r>
      <w:r w:rsidRPr="00A86354">
        <w:rPr>
          <w:rFonts w:ascii="Arial" w:hAnsi="Arial" w:cs="Arial"/>
          <w:sz w:val="20"/>
          <w:szCs w:val="20"/>
          <w:lang w:val="fr-FR"/>
        </w:rPr>
        <w:t>orienter dans le temps</w:t>
      </w:r>
      <w:r w:rsidRPr="00A86354" w:rsidR="000807D5">
        <w:rPr>
          <w:rFonts w:ascii="Arial" w:hAnsi="Arial" w:cs="Arial"/>
          <w:sz w:val="20"/>
          <w:szCs w:val="20"/>
          <w:lang w:val="fr-FR"/>
        </w:rPr>
        <w:t> ;</w:t>
      </w:r>
      <w:r w:rsidRPr="00A86354">
        <w:rPr>
          <w:rFonts w:ascii="Arial" w:hAnsi="Arial" w:cs="Arial"/>
          <w:sz w:val="20"/>
          <w:szCs w:val="20"/>
          <w:lang w:val="fr-FR"/>
        </w:rPr>
        <w:t xml:space="preserve"> – s</w:t>
      </w:r>
      <w:r w:rsidRPr="00A86354" w:rsidR="0006032C">
        <w:rPr>
          <w:rFonts w:ascii="Arial" w:hAnsi="Arial" w:cs="Arial"/>
          <w:sz w:val="20"/>
          <w:szCs w:val="20"/>
          <w:lang w:val="fr-FR"/>
        </w:rPr>
        <w:t>’</w:t>
      </w:r>
      <w:r w:rsidRPr="00A86354">
        <w:rPr>
          <w:rFonts w:ascii="Arial" w:hAnsi="Arial" w:cs="Arial"/>
          <w:sz w:val="20"/>
          <w:szCs w:val="20"/>
          <w:lang w:val="fr-FR"/>
        </w:rPr>
        <w:t>orienter dans l</w:t>
      </w:r>
      <w:r w:rsidRPr="00A86354" w:rsidR="0006032C">
        <w:rPr>
          <w:rFonts w:ascii="Arial" w:hAnsi="Arial" w:cs="Arial"/>
          <w:sz w:val="20"/>
          <w:szCs w:val="20"/>
          <w:lang w:val="fr-FR"/>
        </w:rPr>
        <w:t>’</w:t>
      </w:r>
      <w:r w:rsidRPr="00A86354">
        <w:rPr>
          <w:rFonts w:ascii="Arial" w:hAnsi="Arial" w:cs="Arial"/>
          <w:sz w:val="20"/>
          <w:szCs w:val="20"/>
          <w:lang w:val="fr-FR"/>
        </w:rPr>
        <w:t>espace</w:t>
      </w:r>
      <w:r w:rsidRPr="00A86354" w:rsidR="000807D5">
        <w:rPr>
          <w:rFonts w:ascii="Arial" w:hAnsi="Arial" w:cs="Arial"/>
          <w:sz w:val="20"/>
          <w:szCs w:val="20"/>
          <w:lang w:val="fr-FR"/>
        </w:rPr>
        <w:t> ;</w:t>
      </w:r>
      <w:r w:rsidRPr="00A86354">
        <w:rPr>
          <w:rFonts w:ascii="Arial" w:hAnsi="Arial" w:cs="Arial"/>
          <w:sz w:val="20"/>
          <w:szCs w:val="20"/>
          <w:lang w:val="fr-FR"/>
        </w:rPr>
        <w:t xml:space="preserve"> – gérer sa sécurité</w:t>
      </w:r>
      <w:r w:rsidRPr="00A86354" w:rsidR="000807D5">
        <w:rPr>
          <w:rFonts w:ascii="Arial" w:hAnsi="Arial" w:cs="Arial"/>
          <w:sz w:val="20"/>
          <w:szCs w:val="20"/>
          <w:lang w:val="fr-FR"/>
        </w:rPr>
        <w:t> ;</w:t>
      </w:r>
      <w:r w:rsidRPr="00A86354">
        <w:rPr>
          <w:rFonts w:ascii="Arial" w:hAnsi="Arial" w:cs="Arial"/>
          <w:sz w:val="20"/>
          <w:szCs w:val="20"/>
          <w:lang w:val="fr-FR"/>
        </w:rPr>
        <w:t xml:space="preserve"> – maîtriser son comportement dans ses relations avec autrui.</w:t>
      </w:r>
    </w:p>
    <w:p w:rsidRPr="00A86354" w:rsidR="00EB2954" w:rsidP="00A86354" w:rsidRDefault="00EB2954" w14:paraId="40E64A94" w14:textId="6F82FC8A">
      <w:pPr>
        <w:ind w:left="709"/>
        <w:rPr>
          <w:rFonts w:ascii="Arial" w:hAnsi="Arial" w:cs="Arial"/>
          <w:sz w:val="20"/>
          <w:szCs w:val="20"/>
          <w:lang w:val="fr-FR"/>
        </w:rPr>
      </w:pPr>
      <w:r w:rsidRPr="00A86354">
        <w:rPr>
          <w:rFonts w:ascii="Arial" w:hAnsi="Arial" w:cs="Arial"/>
          <w:sz w:val="20"/>
          <w:szCs w:val="20"/>
          <w:lang w:val="fr-FR"/>
        </w:rPr>
        <w:t>(...)</w:t>
      </w:r>
      <w:r w:rsidRPr="00A86354" w:rsidR="000807D5">
        <w:rPr>
          <w:rFonts w:ascii="Arial" w:hAnsi="Arial" w:cs="Arial"/>
          <w:sz w:val="20"/>
          <w:szCs w:val="20"/>
          <w:lang w:val="fr-FR"/>
        </w:rPr>
        <w:t> »</w:t>
      </w:r>
    </w:p>
    <w:p w:rsidRPr="00A86354" w:rsidR="00EB2954" w:rsidP="00EB2954" w:rsidRDefault="00EB2954" w14:paraId="5DC7E5C8" w14:textId="77777777">
      <w:pPr>
        <w:rPr>
          <w:rFonts w:ascii="Arial" w:hAnsi="Arial" w:cs="Arial"/>
          <w:lang w:val="fr-FR"/>
        </w:rPr>
      </w:pPr>
      <w:r w:rsidRPr="00A86354">
        <w:rPr>
          <w:rFonts w:ascii="Arial" w:hAnsi="Arial" w:cs="Arial"/>
          <w:lang w:val="fr-FR"/>
        </w:rPr>
        <w:t xml:space="preserve"> </w:t>
      </w:r>
    </w:p>
    <w:p w:rsidRPr="00A86354" w:rsidR="00EB2954" w:rsidP="00CE016A" w:rsidRDefault="00EB2954" w14:paraId="58C71793" w14:textId="127BBEFE">
      <w:pPr>
        <w:pStyle w:val="ListParagraph"/>
        <w:numPr>
          <w:ilvl w:val="0"/>
          <w:numId w:val="1"/>
        </w:numPr>
        <w:ind w:left="0" w:firstLine="0"/>
        <w:rPr>
          <w:rFonts w:cs="Arial"/>
          <w:lang w:val="fr-FR"/>
        </w:rPr>
      </w:pPr>
      <w:r w:rsidRPr="00A86354">
        <w:rPr>
          <w:rFonts w:cs="Arial"/>
          <w:lang w:val="fr-FR"/>
        </w:rPr>
        <w:t>En ce qui concerne les coûts restant à la charge des bénéficiaires, l</w:t>
      </w:r>
      <w:r w:rsidRPr="00A86354" w:rsidR="0006032C">
        <w:rPr>
          <w:rFonts w:cs="Arial"/>
          <w:lang w:val="fr-FR"/>
        </w:rPr>
        <w:t>’</w:t>
      </w:r>
      <w:r w:rsidRPr="00A86354">
        <w:rPr>
          <w:rFonts w:cs="Arial"/>
          <w:lang w:val="fr-FR"/>
        </w:rPr>
        <w:t>article 64 de la loi de 2005, modifiant l</w:t>
      </w:r>
      <w:r w:rsidRPr="00A86354" w:rsidR="0006032C">
        <w:rPr>
          <w:rFonts w:cs="Arial"/>
          <w:lang w:val="fr-FR"/>
        </w:rPr>
        <w:t>’</w:t>
      </w:r>
      <w:r w:rsidRPr="00A86354">
        <w:rPr>
          <w:rFonts w:cs="Arial"/>
          <w:lang w:val="fr-FR"/>
        </w:rPr>
        <w:t xml:space="preserve">article L146-5 du code de </w:t>
      </w:r>
      <w:r w:rsidRPr="00A86354" w:rsidR="00CE3852">
        <w:rPr>
          <w:rFonts w:cs="Arial"/>
          <w:lang w:val="fr-FR"/>
        </w:rPr>
        <w:t>l</w:t>
      </w:r>
      <w:r w:rsidRPr="00A86354" w:rsidR="0006032C">
        <w:rPr>
          <w:rFonts w:cs="Arial"/>
          <w:lang w:val="fr-FR"/>
        </w:rPr>
        <w:t>’</w:t>
      </w:r>
      <w:r w:rsidRPr="00A86354" w:rsidR="00CE3852">
        <w:rPr>
          <w:rFonts w:cs="Arial"/>
          <w:lang w:val="fr-FR"/>
        </w:rPr>
        <w:t>action</w:t>
      </w:r>
      <w:r w:rsidRPr="00A86354">
        <w:rPr>
          <w:rFonts w:cs="Arial"/>
          <w:lang w:val="fr-FR"/>
        </w:rPr>
        <w:t xml:space="preserve"> sociale et des familles, prévoit que</w:t>
      </w:r>
      <w:r w:rsidRPr="00A86354" w:rsidR="000807D5">
        <w:rPr>
          <w:rFonts w:cs="Arial"/>
          <w:lang w:val="fr-FR"/>
        </w:rPr>
        <w:t> :</w:t>
      </w:r>
      <w:r w:rsidRPr="00A86354">
        <w:rPr>
          <w:rFonts w:cs="Arial"/>
          <w:lang w:val="fr-FR"/>
        </w:rPr>
        <w:t xml:space="preserve"> </w:t>
      </w:r>
    </w:p>
    <w:p w:rsidRPr="00A86354" w:rsidR="00EB2954" w:rsidP="00EB2954" w:rsidRDefault="00EB2954" w14:paraId="68E04E26" w14:textId="77777777">
      <w:pPr>
        <w:rPr>
          <w:rFonts w:ascii="Arial" w:hAnsi="Arial" w:cs="Arial"/>
          <w:sz w:val="20"/>
          <w:szCs w:val="20"/>
          <w:lang w:val="fr-FR"/>
        </w:rPr>
      </w:pPr>
    </w:p>
    <w:p w:rsidRPr="00A86354" w:rsidR="00EB2954" w:rsidP="00A86354" w:rsidRDefault="000807D5" w14:paraId="0022E94A" w14:textId="138F5D1B">
      <w:pPr>
        <w:ind w:left="709"/>
        <w:rPr>
          <w:rFonts w:ascii="Arial" w:hAnsi="Arial" w:cs="Arial"/>
          <w:sz w:val="20"/>
          <w:szCs w:val="20"/>
          <w:lang w:val="fr-FR"/>
        </w:rPr>
      </w:pPr>
      <w:r w:rsidRPr="00A86354">
        <w:rPr>
          <w:rFonts w:ascii="Arial" w:hAnsi="Arial" w:cs="Arial"/>
          <w:sz w:val="20"/>
          <w:szCs w:val="20"/>
          <w:lang w:val="fr-FR"/>
        </w:rPr>
        <w:t>« </w:t>
      </w:r>
      <w:r w:rsidRPr="00A86354" w:rsidR="00EB2954">
        <w:rPr>
          <w:rFonts w:ascii="Arial" w:hAnsi="Arial" w:cs="Arial"/>
          <w:sz w:val="20"/>
          <w:szCs w:val="20"/>
          <w:lang w:val="fr-FR"/>
        </w:rPr>
        <w:t>Art. L. 146-5. - Chaque maison départementale des personnes handicapées gère un fonds départemental de compensation du handicap chargé d</w:t>
      </w:r>
      <w:r w:rsidRPr="00A86354" w:rsidR="0006032C">
        <w:rPr>
          <w:rFonts w:ascii="Arial" w:hAnsi="Arial" w:cs="Arial"/>
          <w:sz w:val="20"/>
          <w:szCs w:val="20"/>
          <w:lang w:val="fr-FR"/>
        </w:rPr>
        <w:t>’</w:t>
      </w:r>
      <w:r w:rsidRPr="00A86354" w:rsidR="00EB2954">
        <w:rPr>
          <w:rFonts w:ascii="Arial" w:hAnsi="Arial" w:cs="Arial"/>
          <w:sz w:val="20"/>
          <w:szCs w:val="20"/>
          <w:lang w:val="fr-FR"/>
        </w:rPr>
        <w:t>accorder des aides financières destinées à permettre aux personnes handicapées de faire face aux frais de compensation restant à leur charge, après déduction de la prestation de compensation mentionnée à l</w:t>
      </w:r>
      <w:r w:rsidRPr="00A86354" w:rsidR="0006032C">
        <w:rPr>
          <w:rFonts w:ascii="Arial" w:hAnsi="Arial" w:cs="Arial"/>
          <w:sz w:val="20"/>
          <w:szCs w:val="20"/>
          <w:lang w:val="fr-FR"/>
        </w:rPr>
        <w:t>’</w:t>
      </w:r>
      <w:r w:rsidRPr="00A86354" w:rsidR="00EB2954">
        <w:rPr>
          <w:rFonts w:ascii="Arial" w:hAnsi="Arial" w:cs="Arial"/>
          <w:sz w:val="20"/>
          <w:szCs w:val="20"/>
          <w:lang w:val="fr-FR"/>
        </w:rPr>
        <w:t xml:space="preserve">article L. 245-1. </w:t>
      </w:r>
      <w:r w:rsidRPr="00A86354" w:rsidR="002C5D46">
        <w:rPr>
          <w:rFonts w:ascii="Arial" w:hAnsi="Arial" w:cs="Arial"/>
          <w:sz w:val="20"/>
          <w:szCs w:val="20"/>
          <w:lang w:val="fr-FR"/>
        </w:rPr>
        <w:t>[...]</w:t>
      </w:r>
    </w:p>
    <w:p w:rsidRPr="00A86354" w:rsidR="00EB2954" w:rsidP="00A86354" w:rsidRDefault="00EB2954" w14:paraId="565C7B6C" w14:textId="77777777">
      <w:pPr>
        <w:ind w:left="709"/>
        <w:rPr>
          <w:rFonts w:ascii="Arial" w:hAnsi="Arial" w:cs="Arial"/>
          <w:sz w:val="20"/>
          <w:szCs w:val="20"/>
          <w:lang w:val="fr-FR"/>
        </w:rPr>
      </w:pPr>
    </w:p>
    <w:p w:rsidRPr="00A86354" w:rsidR="00EB2954" w:rsidP="00A86354" w:rsidRDefault="00EB2954" w14:paraId="34F7B946" w14:textId="3B1C51DA">
      <w:pPr>
        <w:ind w:left="709"/>
        <w:rPr>
          <w:rFonts w:ascii="Arial" w:hAnsi="Arial" w:cs="Arial"/>
          <w:sz w:val="20"/>
          <w:szCs w:val="20"/>
          <w:lang w:val="fr-FR"/>
        </w:rPr>
      </w:pPr>
      <w:r w:rsidRPr="00A86354">
        <w:rPr>
          <w:rFonts w:ascii="Arial" w:hAnsi="Arial" w:cs="Arial"/>
          <w:sz w:val="20"/>
          <w:szCs w:val="20"/>
          <w:lang w:val="fr-FR"/>
        </w:rPr>
        <w:t>Les frais de compensation restant à la charge du bénéficiaire de la prestation prévue à l</w:t>
      </w:r>
      <w:r w:rsidRPr="00A86354" w:rsidR="0006032C">
        <w:rPr>
          <w:rFonts w:ascii="Arial" w:hAnsi="Arial" w:cs="Arial"/>
          <w:sz w:val="20"/>
          <w:szCs w:val="20"/>
          <w:lang w:val="fr-FR"/>
        </w:rPr>
        <w:t>’</w:t>
      </w:r>
      <w:r w:rsidRPr="00A86354">
        <w:rPr>
          <w:rFonts w:ascii="Arial" w:hAnsi="Arial" w:cs="Arial"/>
          <w:sz w:val="20"/>
          <w:szCs w:val="20"/>
          <w:lang w:val="fr-FR"/>
        </w:rPr>
        <w:t>article L. 245-6 ne peuvent, dans la limite des tarifs et montants visés au premier alinéa dudit article, excéder 10 % de ses ressources personnelles nettes d</w:t>
      </w:r>
      <w:r w:rsidRPr="00A86354" w:rsidR="0006032C">
        <w:rPr>
          <w:rFonts w:ascii="Arial" w:hAnsi="Arial" w:cs="Arial"/>
          <w:sz w:val="20"/>
          <w:szCs w:val="20"/>
          <w:lang w:val="fr-FR"/>
        </w:rPr>
        <w:t>’</w:t>
      </w:r>
      <w:r w:rsidRPr="00A86354">
        <w:rPr>
          <w:rFonts w:ascii="Arial" w:hAnsi="Arial" w:cs="Arial"/>
          <w:sz w:val="20"/>
          <w:szCs w:val="20"/>
          <w:lang w:val="fr-FR"/>
        </w:rPr>
        <w:t>impôts dans des conditions définies par décret</w:t>
      </w:r>
      <w:r w:rsidRPr="00A86354" w:rsidR="000807D5">
        <w:rPr>
          <w:rFonts w:ascii="Arial" w:hAnsi="Arial" w:cs="Arial"/>
          <w:sz w:val="20"/>
          <w:szCs w:val="20"/>
          <w:lang w:val="fr-FR"/>
        </w:rPr>
        <w:t> »</w:t>
      </w:r>
      <w:r w:rsidRPr="00A86354">
        <w:rPr>
          <w:rFonts w:ascii="Arial" w:hAnsi="Arial" w:cs="Arial"/>
          <w:sz w:val="20"/>
          <w:szCs w:val="20"/>
          <w:lang w:val="fr-FR"/>
        </w:rPr>
        <w:t>.</w:t>
      </w:r>
    </w:p>
    <w:p w:rsidRPr="00A86354" w:rsidR="00EB2954" w:rsidP="00A86354" w:rsidRDefault="00EB2954" w14:paraId="1E8B8EE5" w14:textId="77777777">
      <w:pPr>
        <w:ind w:left="709"/>
        <w:rPr>
          <w:rFonts w:ascii="Arial" w:hAnsi="Arial" w:cs="Arial"/>
          <w:lang w:val="fr-FR"/>
        </w:rPr>
      </w:pPr>
    </w:p>
    <w:p w:rsidRPr="00A86354" w:rsidR="00EB2954" w:rsidP="00A86354" w:rsidRDefault="00EB2954" w14:paraId="6AF5A036" w14:textId="53683A1D">
      <w:pPr>
        <w:ind w:left="709"/>
        <w:rPr>
          <w:rFonts w:ascii="Arial" w:hAnsi="Arial" w:cs="Arial"/>
          <w:sz w:val="20"/>
          <w:szCs w:val="20"/>
          <w:lang w:val="fr-FR"/>
        </w:rPr>
      </w:pPr>
      <w:r w:rsidRPr="00A86354">
        <w:rPr>
          <w:rFonts w:ascii="Arial" w:hAnsi="Arial" w:cs="Arial"/>
          <w:sz w:val="20"/>
          <w:szCs w:val="20"/>
          <w:lang w:val="fr-FR"/>
        </w:rPr>
        <w:t>Le département, l</w:t>
      </w:r>
      <w:r w:rsidRPr="00A86354" w:rsidR="0006032C">
        <w:rPr>
          <w:rFonts w:ascii="Arial" w:hAnsi="Arial" w:cs="Arial"/>
          <w:sz w:val="20"/>
          <w:szCs w:val="20"/>
          <w:lang w:val="fr-FR"/>
        </w:rPr>
        <w:t>’</w:t>
      </w:r>
      <w:r w:rsidRPr="00A86354">
        <w:rPr>
          <w:rFonts w:ascii="Arial" w:hAnsi="Arial" w:cs="Arial"/>
          <w:sz w:val="20"/>
          <w:szCs w:val="20"/>
          <w:lang w:val="fr-FR"/>
        </w:rPr>
        <w:t>Etat, les autres collectivités territoriales, les organismes d</w:t>
      </w:r>
      <w:r w:rsidRPr="00A86354" w:rsidR="0006032C">
        <w:rPr>
          <w:rFonts w:ascii="Arial" w:hAnsi="Arial" w:cs="Arial"/>
          <w:sz w:val="20"/>
          <w:szCs w:val="20"/>
          <w:lang w:val="fr-FR"/>
        </w:rPr>
        <w:t>’</w:t>
      </w:r>
      <w:r w:rsidRPr="00A86354">
        <w:rPr>
          <w:rFonts w:ascii="Arial" w:hAnsi="Arial" w:cs="Arial"/>
          <w:sz w:val="20"/>
          <w:szCs w:val="20"/>
          <w:lang w:val="fr-FR"/>
        </w:rPr>
        <w:t>assurance maladie, les caisses d</w:t>
      </w:r>
      <w:r w:rsidRPr="00A86354" w:rsidR="0006032C">
        <w:rPr>
          <w:rFonts w:ascii="Arial" w:hAnsi="Arial" w:cs="Arial"/>
          <w:sz w:val="20"/>
          <w:szCs w:val="20"/>
          <w:lang w:val="fr-FR"/>
        </w:rPr>
        <w:t>’</w:t>
      </w:r>
      <w:r w:rsidRPr="00A86354">
        <w:rPr>
          <w:rFonts w:ascii="Arial" w:hAnsi="Arial" w:cs="Arial"/>
          <w:sz w:val="20"/>
          <w:szCs w:val="20"/>
          <w:lang w:val="fr-FR"/>
        </w:rPr>
        <w:t xml:space="preserve">allocations familiales, les organismes régis par le code de la mutualité </w:t>
      </w:r>
      <w:r w:rsidRPr="00A86354" w:rsidR="002C5D46">
        <w:rPr>
          <w:rFonts w:ascii="Arial" w:hAnsi="Arial" w:cs="Arial"/>
          <w:sz w:val="20"/>
          <w:szCs w:val="20"/>
          <w:lang w:val="fr-FR"/>
        </w:rPr>
        <w:t>[...]</w:t>
      </w:r>
      <w:r w:rsidRPr="00A86354">
        <w:rPr>
          <w:rFonts w:ascii="Arial" w:hAnsi="Arial" w:cs="Arial"/>
          <w:sz w:val="20"/>
          <w:szCs w:val="20"/>
          <w:lang w:val="fr-FR"/>
        </w:rPr>
        <w:t xml:space="preserve"> et les autres personnes morales concernées peuvent participer au financement du fonds. </w:t>
      </w:r>
    </w:p>
    <w:p w:rsidRPr="00A86354" w:rsidR="00EB2954" w:rsidP="00EB2954" w:rsidRDefault="00EB2954" w14:paraId="6C101A38" w14:textId="77777777">
      <w:pPr>
        <w:rPr>
          <w:rFonts w:ascii="Arial" w:hAnsi="Arial" w:cs="Arial"/>
          <w:lang w:val="fr-FR"/>
        </w:rPr>
      </w:pPr>
    </w:p>
    <w:p w:rsidRPr="00A86354" w:rsidR="00EB2954" w:rsidP="00CE016A" w:rsidRDefault="00EB2954" w14:paraId="40CAD80B" w14:textId="3AFF3801">
      <w:pPr>
        <w:pStyle w:val="ListParagraph"/>
        <w:numPr>
          <w:ilvl w:val="0"/>
          <w:numId w:val="1"/>
        </w:numPr>
        <w:ind w:left="0" w:firstLine="0"/>
        <w:rPr>
          <w:rFonts w:cs="Arial"/>
          <w:lang w:val="fr-FR"/>
        </w:rPr>
      </w:pPr>
      <w:r w:rsidRPr="00A86354">
        <w:rPr>
          <w:rFonts w:cs="Arial"/>
          <w:lang w:val="fr-FR"/>
        </w:rPr>
        <w:t>Le chapitre 2 (aides humaines) de l</w:t>
      </w:r>
      <w:r w:rsidRPr="00A86354" w:rsidR="0006032C">
        <w:rPr>
          <w:rFonts w:cs="Arial"/>
          <w:lang w:val="fr-FR"/>
        </w:rPr>
        <w:t>’</w:t>
      </w:r>
      <w:r w:rsidRPr="00A86354">
        <w:rPr>
          <w:rFonts w:cs="Arial"/>
          <w:lang w:val="fr-FR"/>
        </w:rPr>
        <w:t xml:space="preserve">annexe 2-5 </w:t>
      </w:r>
      <w:r w:rsidRPr="00A86354" w:rsidR="00624C66">
        <w:rPr>
          <w:rFonts w:cs="Arial"/>
          <w:lang w:val="fr-FR"/>
        </w:rPr>
        <w:t xml:space="preserve">du code de l’action sociale et des familles </w:t>
      </w:r>
      <w:r w:rsidRPr="00A86354">
        <w:rPr>
          <w:rFonts w:cs="Arial"/>
          <w:lang w:val="fr-FR"/>
        </w:rPr>
        <w:t xml:space="preserve">détermine le </w:t>
      </w:r>
      <w:r w:rsidRPr="00A86354">
        <w:rPr>
          <w:rFonts w:cs="Arial"/>
          <w:bCs/>
          <w:iCs/>
          <w:lang w:val="fr-FR"/>
        </w:rPr>
        <w:t>temps d</w:t>
      </w:r>
      <w:r w:rsidRPr="00A86354" w:rsidR="0006032C">
        <w:rPr>
          <w:rFonts w:cs="Arial"/>
          <w:bCs/>
          <w:iCs/>
          <w:lang w:val="fr-FR"/>
        </w:rPr>
        <w:t>’</w:t>
      </w:r>
      <w:r w:rsidRPr="00A86354">
        <w:rPr>
          <w:rFonts w:cs="Arial"/>
          <w:bCs/>
          <w:iCs/>
          <w:lang w:val="fr-FR"/>
        </w:rPr>
        <w:t>aide humaine maximum accordé par jour au titre de la prestation de compensation du handicap</w:t>
      </w:r>
      <w:r w:rsidRPr="00A86354" w:rsidR="000807D5">
        <w:rPr>
          <w:rFonts w:cs="Arial"/>
          <w:bCs/>
          <w:iCs/>
          <w:lang w:val="fr-FR"/>
        </w:rPr>
        <w:t> :</w:t>
      </w:r>
      <w:r w:rsidRPr="00A86354">
        <w:rPr>
          <w:rFonts w:cs="Arial"/>
          <w:lang w:val="fr-FR"/>
        </w:rPr>
        <w:t xml:space="preserve"> </w:t>
      </w:r>
    </w:p>
    <w:p w:rsidRPr="00A86354" w:rsidR="00EB2954" w:rsidP="00EB2954" w:rsidRDefault="00EB2954" w14:paraId="40CF0805" w14:textId="77777777">
      <w:pPr>
        <w:rPr>
          <w:rFonts w:ascii="Arial" w:hAnsi="Arial" w:cs="Arial"/>
          <w:lang w:val="fr-FR"/>
        </w:rPr>
      </w:pPr>
    </w:p>
    <w:p w:rsidRPr="00A86354" w:rsidR="00EB2954" w:rsidP="00A86354" w:rsidRDefault="000807D5" w14:paraId="27617A48" w14:textId="45509976">
      <w:pPr>
        <w:ind w:left="709"/>
        <w:rPr>
          <w:rFonts w:ascii="Arial" w:hAnsi="Arial" w:cs="Arial"/>
          <w:iCs/>
          <w:sz w:val="20"/>
          <w:szCs w:val="20"/>
          <w:lang w:val="fr-FR"/>
        </w:rPr>
      </w:pPr>
      <w:r w:rsidRPr="00A86354">
        <w:rPr>
          <w:rFonts w:ascii="Arial" w:hAnsi="Arial" w:cs="Arial"/>
          <w:sz w:val="20"/>
          <w:szCs w:val="20"/>
          <w:lang w:val="fr-FR"/>
        </w:rPr>
        <w:t>« </w:t>
      </w:r>
      <w:r w:rsidRPr="00A86354" w:rsidR="00EB2954">
        <w:rPr>
          <w:rFonts w:ascii="Arial" w:hAnsi="Arial" w:cs="Arial"/>
          <w:sz w:val="20"/>
          <w:szCs w:val="20"/>
          <w:lang w:val="fr-FR"/>
        </w:rPr>
        <w:t xml:space="preserve">1. </w:t>
      </w:r>
      <w:r w:rsidRPr="00A86354" w:rsidR="00EB2954">
        <w:rPr>
          <w:rFonts w:ascii="Arial" w:hAnsi="Arial" w:cs="Arial"/>
          <w:iCs/>
          <w:sz w:val="20"/>
          <w:szCs w:val="20"/>
          <w:lang w:val="fr-FR"/>
        </w:rPr>
        <w:t>Les actes essentiels à prendre en compte</w:t>
      </w:r>
    </w:p>
    <w:p w:rsidRPr="00A86354" w:rsidR="00EB2954" w:rsidP="00A86354" w:rsidRDefault="00EB2954" w14:paraId="619CEE93" w14:textId="77777777">
      <w:pPr>
        <w:ind w:left="709"/>
        <w:rPr>
          <w:rFonts w:ascii="Arial" w:hAnsi="Arial" w:cs="Arial"/>
          <w:sz w:val="20"/>
          <w:szCs w:val="20"/>
          <w:lang w:val="fr-FR"/>
        </w:rPr>
      </w:pPr>
    </w:p>
    <w:p w:rsidRPr="00A86354" w:rsidR="00EB2954" w:rsidP="00A86354" w:rsidRDefault="002C5D46" w14:paraId="5C79761C" w14:textId="47068342">
      <w:pPr>
        <w:ind w:left="709"/>
        <w:rPr>
          <w:rFonts w:ascii="Arial" w:hAnsi="Arial" w:cs="Arial"/>
          <w:sz w:val="20"/>
          <w:szCs w:val="20"/>
          <w:lang w:val="fr-FR"/>
        </w:rPr>
      </w:pPr>
      <w:r w:rsidRPr="00A86354">
        <w:rPr>
          <w:rFonts w:ascii="Arial" w:hAnsi="Arial" w:cs="Arial"/>
          <w:sz w:val="20"/>
          <w:szCs w:val="20"/>
          <w:lang w:val="fr-FR"/>
        </w:rPr>
        <w:t>[...]</w:t>
      </w:r>
    </w:p>
    <w:p w:rsidRPr="00A86354" w:rsidR="00EB2954" w:rsidP="00A86354" w:rsidRDefault="00EB2954" w14:paraId="3AB501EA" w14:textId="77777777">
      <w:pPr>
        <w:ind w:left="709"/>
        <w:rPr>
          <w:rFonts w:ascii="Arial" w:hAnsi="Arial" w:cs="Arial"/>
          <w:sz w:val="20"/>
          <w:szCs w:val="20"/>
          <w:lang w:val="fr-FR"/>
        </w:rPr>
      </w:pPr>
    </w:p>
    <w:p w:rsidRPr="00A86354" w:rsidR="00EB2954" w:rsidP="00CE016A" w:rsidRDefault="00EB2954" w14:paraId="4D173D82" w14:textId="154725DD">
      <w:pPr>
        <w:pStyle w:val="ListParagraph"/>
        <w:numPr>
          <w:ilvl w:val="0"/>
          <w:numId w:val="10"/>
        </w:numPr>
        <w:ind w:left="709" w:firstLine="0"/>
        <w:rPr>
          <w:rFonts w:cs="Arial"/>
          <w:sz w:val="20"/>
          <w:szCs w:val="20"/>
          <w:lang w:val="fr-FR"/>
        </w:rPr>
      </w:pPr>
      <w:r w:rsidRPr="00A86354">
        <w:rPr>
          <w:rFonts w:cs="Arial"/>
          <w:sz w:val="20"/>
          <w:szCs w:val="20"/>
          <w:lang w:val="fr-FR"/>
        </w:rPr>
        <w:t>L</w:t>
      </w:r>
      <w:r w:rsidRPr="00A86354" w:rsidR="0006032C">
        <w:rPr>
          <w:rFonts w:cs="Arial"/>
          <w:sz w:val="20"/>
          <w:szCs w:val="20"/>
          <w:lang w:val="fr-FR"/>
        </w:rPr>
        <w:t>’</w:t>
      </w:r>
      <w:r w:rsidRPr="00A86354">
        <w:rPr>
          <w:rFonts w:cs="Arial"/>
          <w:sz w:val="20"/>
          <w:szCs w:val="20"/>
          <w:lang w:val="fr-FR"/>
        </w:rPr>
        <w:t>entretien personnel porte sur les actes suivants</w:t>
      </w:r>
      <w:r w:rsidRPr="00A86354" w:rsidR="000807D5">
        <w:rPr>
          <w:rFonts w:cs="Arial"/>
          <w:sz w:val="20"/>
          <w:szCs w:val="20"/>
          <w:lang w:val="fr-FR"/>
        </w:rPr>
        <w:t> :</w:t>
      </w:r>
    </w:p>
    <w:p w:rsidRPr="00A86354" w:rsidR="00EB2954" w:rsidP="00A86354" w:rsidRDefault="00EB2954" w14:paraId="0F9F735B" w14:textId="77777777">
      <w:pPr>
        <w:ind w:left="709"/>
        <w:rPr>
          <w:rFonts w:ascii="Arial" w:hAnsi="Arial" w:cs="Arial"/>
          <w:sz w:val="20"/>
          <w:szCs w:val="20"/>
          <w:lang w:val="fr-FR"/>
        </w:rPr>
      </w:pPr>
    </w:p>
    <w:p w:rsidRPr="00A86354" w:rsidR="00EB2954" w:rsidP="00A86354" w:rsidRDefault="002C5D46" w14:paraId="73191657" w14:textId="206DBD54">
      <w:pPr>
        <w:ind w:left="709"/>
        <w:rPr>
          <w:rFonts w:ascii="Arial" w:hAnsi="Arial" w:cs="Arial"/>
          <w:sz w:val="20"/>
          <w:szCs w:val="20"/>
          <w:lang w:val="fr-FR"/>
        </w:rPr>
      </w:pPr>
      <w:r w:rsidRPr="00A86354">
        <w:rPr>
          <w:rFonts w:ascii="Arial" w:hAnsi="Arial" w:cs="Arial"/>
          <w:sz w:val="20"/>
          <w:szCs w:val="20"/>
          <w:lang w:val="fr-FR"/>
        </w:rPr>
        <w:t>[...]</w:t>
      </w:r>
      <w:r w:rsidRPr="00A86354" w:rsidR="00EB2954">
        <w:rPr>
          <w:rFonts w:ascii="Arial" w:hAnsi="Arial" w:cs="Arial"/>
          <w:sz w:val="20"/>
          <w:szCs w:val="20"/>
          <w:lang w:val="fr-FR"/>
        </w:rPr>
        <w:t xml:space="preserve"> </w:t>
      </w:r>
    </w:p>
    <w:p w:rsidRPr="00A86354" w:rsidR="00EB2954" w:rsidP="00A86354" w:rsidRDefault="00EB2954" w14:paraId="247AEEDC" w14:textId="77777777">
      <w:pPr>
        <w:ind w:left="709"/>
        <w:rPr>
          <w:rFonts w:ascii="Arial" w:hAnsi="Arial" w:cs="Arial"/>
          <w:sz w:val="20"/>
          <w:szCs w:val="20"/>
          <w:lang w:val="fr-FR"/>
        </w:rPr>
      </w:pPr>
    </w:p>
    <w:p w:rsidRPr="00A86354" w:rsidR="00EB2954" w:rsidP="00A86354" w:rsidRDefault="00EB2954" w14:paraId="1B2A2D17" w14:textId="21495EC0">
      <w:pPr>
        <w:ind w:left="709"/>
        <w:rPr>
          <w:rFonts w:ascii="Arial" w:hAnsi="Arial" w:cs="Arial"/>
          <w:sz w:val="20"/>
          <w:szCs w:val="20"/>
          <w:lang w:val="fr-FR"/>
        </w:rPr>
      </w:pPr>
      <w:r w:rsidRPr="00A86354">
        <w:rPr>
          <w:rFonts w:ascii="Arial" w:hAnsi="Arial" w:cs="Arial"/>
          <w:sz w:val="20"/>
          <w:szCs w:val="20"/>
          <w:lang w:val="fr-FR"/>
        </w:rPr>
        <w:t>Toilette</w:t>
      </w:r>
      <w:r w:rsidRPr="00A86354" w:rsidR="000807D5">
        <w:rPr>
          <w:rFonts w:ascii="Arial" w:hAnsi="Arial" w:cs="Arial"/>
          <w:sz w:val="20"/>
          <w:szCs w:val="20"/>
          <w:lang w:val="fr-FR"/>
        </w:rPr>
        <w:t> :</w:t>
      </w:r>
      <w:r w:rsidRPr="00A86354">
        <w:rPr>
          <w:rFonts w:ascii="Arial" w:hAnsi="Arial" w:cs="Arial"/>
          <w:sz w:val="20"/>
          <w:szCs w:val="20"/>
          <w:lang w:val="fr-FR"/>
        </w:rPr>
        <w:t xml:space="preserve"> le temps quotidien d</w:t>
      </w:r>
      <w:r w:rsidRPr="00A86354" w:rsidR="0006032C">
        <w:rPr>
          <w:rFonts w:ascii="Arial" w:hAnsi="Arial" w:cs="Arial"/>
          <w:sz w:val="20"/>
          <w:szCs w:val="20"/>
          <w:lang w:val="fr-FR"/>
        </w:rPr>
        <w:t>’</w:t>
      </w:r>
      <w:r w:rsidRPr="00A86354">
        <w:rPr>
          <w:rFonts w:ascii="Arial" w:hAnsi="Arial" w:cs="Arial"/>
          <w:sz w:val="20"/>
          <w:szCs w:val="20"/>
          <w:lang w:val="fr-FR"/>
        </w:rPr>
        <w:t>aide pour la toilette, y compris le temps nécessaire pour l</w:t>
      </w:r>
      <w:r w:rsidRPr="00A86354" w:rsidR="0006032C">
        <w:rPr>
          <w:rFonts w:ascii="Arial" w:hAnsi="Arial" w:cs="Arial"/>
          <w:sz w:val="20"/>
          <w:szCs w:val="20"/>
          <w:lang w:val="fr-FR"/>
        </w:rPr>
        <w:t>’</w:t>
      </w:r>
      <w:r w:rsidRPr="00A86354">
        <w:rPr>
          <w:rFonts w:ascii="Arial" w:hAnsi="Arial" w:cs="Arial"/>
          <w:sz w:val="20"/>
          <w:szCs w:val="20"/>
          <w:lang w:val="fr-FR"/>
        </w:rPr>
        <w:t>installation dans la douche ou la baignoire, peut atteindre 70 minutes.</w:t>
      </w:r>
    </w:p>
    <w:p w:rsidRPr="00A86354" w:rsidR="00EB2954" w:rsidP="00A86354" w:rsidRDefault="002C5D46" w14:paraId="3C10838D" w14:textId="321E899E">
      <w:pPr>
        <w:ind w:left="709"/>
        <w:rPr>
          <w:rFonts w:ascii="Arial" w:hAnsi="Arial" w:cs="Arial"/>
          <w:sz w:val="20"/>
          <w:szCs w:val="20"/>
          <w:lang w:val="fr-FR"/>
        </w:rPr>
      </w:pPr>
      <w:r w:rsidRPr="00A86354">
        <w:rPr>
          <w:rFonts w:ascii="Arial" w:hAnsi="Arial" w:cs="Arial"/>
          <w:sz w:val="20"/>
          <w:szCs w:val="20"/>
          <w:lang w:val="fr-FR"/>
        </w:rPr>
        <w:t>[...]</w:t>
      </w:r>
    </w:p>
    <w:p w:rsidRPr="00A86354" w:rsidR="00EB2954" w:rsidP="00A86354" w:rsidRDefault="00EB2954" w14:paraId="60939AE7" w14:textId="77777777">
      <w:pPr>
        <w:ind w:left="709"/>
        <w:rPr>
          <w:rFonts w:ascii="Arial" w:hAnsi="Arial" w:cs="Arial"/>
          <w:sz w:val="20"/>
          <w:szCs w:val="20"/>
          <w:lang w:val="fr-FR"/>
        </w:rPr>
      </w:pPr>
    </w:p>
    <w:p w:rsidRPr="00A86354" w:rsidR="00EB2954" w:rsidP="00A86354" w:rsidRDefault="00EB2954" w14:paraId="19AA723A" w14:textId="13AF5C9F">
      <w:pPr>
        <w:ind w:left="709"/>
        <w:rPr>
          <w:rFonts w:ascii="Arial" w:hAnsi="Arial" w:cs="Arial"/>
          <w:sz w:val="20"/>
          <w:szCs w:val="20"/>
          <w:lang w:val="fr-FR"/>
        </w:rPr>
      </w:pPr>
      <w:r w:rsidRPr="00A86354">
        <w:rPr>
          <w:rFonts w:ascii="Arial" w:hAnsi="Arial" w:cs="Arial"/>
          <w:sz w:val="20"/>
          <w:szCs w:val="20"/>
          <w:lang w:val="fr-FR"/>
        </w:rPr>
        <w:t>Habillage</w:t>
      </w:r>
      <w:r w:rsidRPr="00A86354" w:rsidR="000807D5">
        <w:rPr>
          <w:rFonts w:ascii="Arial" w:hAnsi="Arial" w:cs="Arial"/>
          <w:sz w:val="20"/>
          <w:szCs w:val="20"/>
          <w:lang w:val="fr-FR"/>
        </w:rPr>
        <w:t> :</w:t>
      </w:r>
      <w:r w:rsidRPr="00A86354">
        <w:rPr>
          <w:rFonts w:ascii="Arial" w:hAnsi="Arial" w:cs="Arial"/>
          <w:sz w:val="20"/>
          <w:szCs w:val="20"/>
          <w:lang w:val="fr-FR"/>
        </w:rPr>
        <w:t xml:space="preserve"> le temps quotidien d</w:t>
      </w:r>
      <w:r w:rsidRPr="00A86354" w:rsidR="0006032C">
        <w:rPr>
          <w:rFonts w:ascii="Arial" w:hAnsi="Arial" w:cs="Arial"/>
          <w:sz w:val="20"/>
          <w:szCs w:val="20"/>
          <w:lang w:val="fr-FR"/>
        </w:rPr>
        <w:t>’</w:t>
      </w:r>
      <w:r w:rsidRPr="00A86354">
        <w:rPr>
          <w:rFonts w:ascii="Arial" w:hAnsi="Arial" w:cs="Arial"/>
          <w:sz w:val="20"/>
          <w:szCs w:val="20"/>
          <w:lang w:val="fr-FR"/>
        </w:rPr>
        <w:t>aide pour l</w:t>
      </w:r>
      <w:r w:rsidRPr="00A86354" w:rsidR="0006032C">
        <w:rPr>
          <w:rFonts w:ascii="Arial" w:hAnsi="Arial" w:cs="Arial"/>
          <w:sz w:val="20"/>
          <w:szCs w:val="20"/>
          <w:lang w:val="fr-FR"/>
        </w:rPr>
        <w:t>’</w:t>
      </w:r>
      <w:r w:rsidRPr="00A86354">
        <w:rPr>
          <w:rFonts w:ascii="Arial" w:hAnsi="Arial" w:cs="Arial"/>
          <w:sz w:val="20"/>
          <w:szCs w:val="20"/>
          <w:lang w:val="fr-FR"/>
        </w:rPr>
        <w:t>habillage et le déshabillage peut atteindre 40 minutes.</w:t>
      </w:r>
    </w:p>
    <w:p w:rsidRPr="00A86354" w:rsidR="00EB2954" w:rsidP="00A86354" w:rsidRDefault="00EB2954" w14:paraId="3AECDA89" w14:textId="77777777">
      <w:pPr>
        <w:ind w:left="709"/>
        <w:rPr>
          <w:rFonts w:ascii="Arial" w:hAnsi="Arial" w:cs="Arial"/>
          <w:sz w:val="20"/>
          <w:szCs w:val="20"/>
          <w:lang w:val="fr-FR"/>
        </w:rPr>
      </w:pPr>
    </w:p>
    <w:p w:rsidRPr="00A86354" w:rsidR="00EB2954" w:rsidP="00A86354" w:rsidRDefault="002C5D46" w14:paraId="2B888DD7" w14:textId="7FD40E35">
      <w:pPr>
        <w:ind w:left="709"/>
        <w:rPr>
          <w:rFonts w:ascii="Arial" w:hAnsi="Arial" w:cs="Arial"/>
          <w:sz w:val="20"/>
          <w:szCs w:val="20"/>
          <w:lang w:val="fr-FR"/>
        </w:rPr>
      </w:pPr>
      <w:r w:rsidRPr="00A86354">
        <w:rPr>
          <w:rFonts w:ascii="Arial" w:hAnsi="Arial" w:cs="Arial"/>
          <w:sz w:val="20"/>
          <w:szCs w:val="20"/>
          <w:lang w:val="fr-FR"/>
        </w:rPr>
        <w:t>[...]</w:t>
      </w:r>
    </w:p>
    <w:p w:rsidRPr="00A86354" w:rsidR="00EB2954" w:rsidP="00A86354" w:rsidRDefault="00EB2954" w14:paraId="30B6434E" w14:textId="77777777">
      <w:pPr>
        <w:ind w:left="709"/>
        <w:rPr>
          <w:rFonts w:ascii="Arial" w:hAnsi="Arial" w:cs="Arial"/>
          <w:sz w:val="20"/>
          <w:szCs w:val="20"/>
          <w:lang w:val="fr-FR"/>
        </w:rPr>
      </w:pPr>
    </w:p>
    <w:p w:rsidRPr="00A86354" w:rsidR="00EB2954" w:rsidP="00A86354" w:rsidRDefault="00EB2954" w14:paraId="5B40C4C7" w14:textId="72034836">
      <w:pPr>
        <w:ind w:left="709"/>
        <w:rPr>
          <w:rFonts w:ascii="Arial" w:hAnsi="Arial" w:cs="Arial"/>
          <w:sz w:val="20"/>
          <w:szCs w:val="20"/>
          <w:lang w:val="fr-FR"/>
        </w:rPr>
      </w:pPr>
      <w:r w:rsidRPr="00A86354">
        <w:rPr>
          <w:rFonts w:ascii="Arial" w:hAnsi="Arial" w:cs="Arial"/>
          <w:sz w:val="20"/>
          <w:szCs w:val="20"/>
          <w:lang w:val="fr-FR"/>
        </w:rPr>
        <w:t>Alimentation</w:t>
      </w:r>
      <w:r w:rsidRPr="00A86354" w:rsidR="000807D5">
        <w:rPr>
          <w:rFonts w:ascii="Arial" w:hAnsi="Arial" w:cs="Arial"/>
          <w:sz w:val="20"/>
          <w:szCs w:val="20"/>
          <w:lang w:val="fr-FR"/>
        </w:rPr>
        <w:t> :</w:t>
      </w:r>
      <w:r w:rsidRPr="00A86354">
        <w:rPr>
          <w:rFonts w:ascii="Arial" w:hAnsi="Arial" w:cs="Arial"/>
          <w:sz w:val="20"/>
          <w:szCs w:val="20"/>
          <w:lang w:val="fr-FR"/>
        </w:rPr>
        <w:t xml:space="preserve"> le temps quotidien d</w:t>
      </w:r>
      <w:r w:rsidRPr="00A86354" w:rsidR="0006032C">
        <w:rPr>
          <w:rFonts w:ascii="Arial" w:hAnsi="Arial" w:cs="Arial"/>
          <w:sz w:val="20"/>
          <w:szCs w:val="20"/>
          <w:lang w:val="fr-FR"/>
        </w:rPr>
        <w:t>’</w:t>
      </w:r>
      <w:r w:rsidRPr="00A86354">
        <w:rPr>
          <w:rFonts w:ascii="Arial" w:hAnsi="Arial" w:cs="Arial"/>
          <w:sz w:val="20"/>
          <w:szCs w:val="20"/>
          <w:lang w:val="fr-FR"/>
        </w:rPr>
        <w:t>aide pour les repas et assurer une prise régulière de boisson peut atteindre 1 heure et 45 minutes.</w:t>
      </w:r>
    </w:p>
    <w:p w:rsidRPr="00A86354" w:rsidR="00EB2954" w:rsidP="00A86354" w:rsidRDefault="00EB2954" w14:paraId="5EC9DE08" w14:textId="77777777">
      <w:pPr>
        <w:ind w:left="709"/>
        <w:rPr>
          <w:rFonts w:ascii="Arial" w:hAnsi="Arial" w:cs="Arial"/>
          <w:sz w:val="20"/>
          <w:szCs w:val="20"/>
          <w:lang w:val="fr-FR"/>
        </w:rPr>
      </w:pPr>
    </w:p>
    <w:p w:rsidRPr="00A86354" w:rsidR="00EB2954" w:rsidP="00A86354" w:rsidRDefault="002C5D46" w14:paraId="0157CDA6" w14:textId="6B38268B">
      <w:pPr>
        <w:ind w:left="709"/>
        <w:rPr>
          <w:rFonts w:ascii="Arial" w:hAnsi="Arial" w:cs="Arial"/>
          <w:sz w:val="20"/>
          <w:szCs w:val="20"/>
          <w:lang w:val="fr-FR"/>
        </w:rPr>
      </w:pPr>
      <w:r w:rsidRPr="00A86354">
        <w:rPr>
          <w:rFonts w:ascii="Arial" w:hAnsi="Arial" w:cs="Arial"/>
          <w:sz w:val="20"/>
          <w:szCs w:val="20"/>
          <w:lang w:val="fr-FR"/>
        </w:rPr>
        <w:t>[...]</w:t>
      </w:r>
    </w:p>
    <w:p w:rsidRPr="00A86354" w:rsidR="00EB2954" w:rsidP="00A86354" w:rsidRDefault="00EB2954" w14:paraId="20790CA2" w14:textId="77777777">
      <w:pPr>
        <w:ind w:left="709"/>
        <w:rPr>
          <w:rFonts w:ascii="Arial" w:hAnsi="Arial" w:cs="Arial"/>
          <w:sz w:val="20"/>
          <w:szCs w:val="20"/>
          <w:lang w:val="fr-FR"/>
        </w:rPr>
      </w:pPr>
    </w:p>
    <w:p w:rsidRPr="00A86354" w:rsidR="00EB2954" w:rsidP="00A86354" w:rsidRDefault="00EB2954" w14:paraId="5EE66696" w14:textId="38C51206">
      <w:pPr>
        <w:ind w:left="709"/>
        <w:rPr>
          <w:rFonts w:ascii="Arial" w:hAnsi="Arial" w:cs="Arial"/>
          <w:sz w:val="20"/>
          <w:szCs w:val="20"/>
          <w:lang w:val="fr-FR"/>
        </w:rPr>
      </w:pPr>
      <w:r w:rsidRPr="00A86354">
        <w:rPr>
          <w:rFonts w:ascii="Arial" w:hAnsi="Arial" w:cs="Arial"/>
          <w:sz w:val="20"/>
          <w:szCs w:val="20"/>
          <w:lang w:val="fr-FR"/>
        </w:rPr>
        <w:t>Élimination</w:t>
      </w:r>
      <w:r w:rsidRPr="00A86354" w:rsidR="000807D5">
        <w:rPr>
          <w:rFonts w:ascii="Arial" w:hAnsi="Arial" w:cs="Arial"/>
          <w:sz w:val="20"/>
          <w:szCs w:val="20"/>
          <w:lang w:val="fr-FR"/>
        </w:rPr>
        <w:t> :</w:t>
      </w:r>
      <w:r w:rsidRPr="00A86354">
        <w:rPr>
          <w:rFonts w:ascii="Arial" w:hAnsi="Arial" w:cs="Arial"/>
          <w:sz w:val="20"/>
          <w:szCs w:val="20"/>
          <w:lang w:val="fr-FR"/>
        </w:rPr>
        <w:t xml:space="preserve"> le temps d</w:t>
      </w:r>
      <w:r w:rsidRPr="00A86354" w:rsidR="0006032C">
        <w:rPr>
          <w:rFonts w:ascii="Arial" w:hAnsi="Arial" w:cs="Arial"/>
          <w:sz w:val="20"/>
          <w:szCs w:val="20"/>
          <w:lang w:val="fr-FR"/>
        </w:rPr>
        <w:t>’</w:t>
      </w:r>
      <w:r w:rsidRPr="00A86354">
        <w:rPr>
          <w:rFonts w:ascii="Arial" w:hAnsi="Arial" w:cs="Arial"/>
          <w:sz w:val="20"/>
          <w:szCs w:val="20"/>
          <w:lang w:val="fr-FR"/>
        </w:rPr>
        <w:t>aide quotidien pour aller aux toilettes comprend le temps nécessaire pour le besoin d</w:t>
      </w:r>
      <w:r w:rsidRPr="00A86354" w:rsidR="0006032C">
        <w:rPr>
          <w:rFonts w:ascii="Arial" w:hAnsi="Arial" w:cs="Arial"/>
          <w:sz w:val="20"/>
          <w:szCs w:val="20"/>
          <w:lang w:val="fr-FR"/>
        </w:rPr>
        <w:t>’</w:t>
      </w:r>
      <w:r w:rsidRPr="00A86354">
        <w:rPr>
          <w:rFonts w:ascii="Arial" w:hAnsi="Arial" w:cs="Arial"/>
          <w:sz w:val="20"/>
          <w:szCs w:val="20"/>
          <w:lang w:val="fr-FR"/>
        </w:rPr>
        <w:t>accompagnement ou l</w:t>
      </w:r>
      <w:r w:rsidRPr="00A86354" w:rsidR="0006032C">
        <w:rPr>
          <w:rFonts w:ascii="Arial" w:hAnsi="Arial" w:cs="Arial"/>
          <w:sz w:val="20"/>
          <w:szCs w:val="20"/>
          <w:lang w:val="fr-FR"/>
        </w:rPr>
        <w:t>’</w:t>
      </w:r>
      <w:r w:rsidRPr="00A86354">
        <w:rPr>
          <w:rFonts w:ascii="Arial" w:hAnsi="Arial" w:cs="Arial"/>
          <w:sz w:val="20"/>
          <w:szCs w:val="20"/>
          <w:lang w:val="fr-FR"/>
        </w:rPr>
        <w:t>installation, y compris les transferts entre les toilettes et le fauteuil. Il peut atteindre 50 minutes.</w:t>
      </w:r>
    </w:p>
    <w:p w:rsidRPr="00A86354" w:rsidR="00EB2954" w:rsidP="00A86354" w:rsidRDefault="00EB2954" w14:paraId="47FA75A0" w14:textId="77777777">
      <w:pPr>
        <w:ind w:left="709"/>
        <w:rPr>
          <w:rFonts w:ascii="Arial" w:hAnsi="Arial" w:cs="Arial"/>
          <w:sz w:val="20"/>
          <w:szCs w:val="20"/>
          <w:lang w:val="fr-FR"/>
        </w:rPr>
      </w:pPr>
    </w:p>
    <w:p w:rsidRPr="00A86354" w:rsidR="00EB2954" w:rsidP="00A86354" w:rsidRDefault="002C5D46" w14:paraId="6E7F5749" w14:textId="74B510BF">
      <w:pPr>
        <w:ind w:left="709"/>
        <w:rPr>
          <w:rFonts w:ascii="Arial" w:hAnsi="Arial" w:cs="Arial"/>
          <w:sz w:val="20"/>
          <w:szCs w:val="20"/>
          <w:lang w:val="fr-FR"/>
        </w:rPr>
      </w:pPr>
      <w:r w:rsidRPr="00A86354">
        <w:rPr>
          <w:rFonts w:ascii="Arial" w:hAnsi="Arial" w:cs="Arial"/>
          <w:sz w:val="20"/>
          <w:szCs w:val="20"/>
          <w:lang w:val="fr-FR"/>
        </w:rPr>
        <w:t>[...]</w:t>
      </w:r>
    </w:p>
    <w:p w:rsidRPr="00A86354" w:rsidR="00EB2954" w:rsidP="00A86354" w:rsidRDefault="00EB2954" w14:paraId="26447565" w14:textId="77777777">
      <w:pPr>
        <w:ind w:left="709"/>
        <w:rPr>
          <w:rFonts w:ascii="Arial" w:hAnsi="Arial" w:cs="Arial"/>
          <w:sz w:val="20"/>
          <w:szCs w:val="20"/>
          <w:lang w:val="fr-FR"/>
        </w:rPr>
      </w:pPr>
    </w:p>
    <w:p w:rsidRPr="00A86354" w:rsidR="00EB2954" w:rsidP="00A86354" w:rsidRDefault="00EB2954" w14:paraId="2B58707F" w14:textId="77777777">
      <w:pPr>
        <w:ind w:left="709"/>
        <w:rPr>
          <w:rFonts w:ascii="Arial" w:hAnsi="Arial" w:cs="Arial"/>
          <w:sz w:val="20"/>
          <w:szCs w:val="20"/>
          <w:lang w:val="fr-FR"/>
        </w:rPr>
      </w:pPr>
      <w:r w:rsidRPr="00A86354">
        <w:rPr>
          <w:rFonts w:ascii="Arial" w:hAnsi="Arial" w:cs="Arial"/>
          <w:sz w:val="20"/>
          <w:szCs w:val="20"/>
          <w:lang w:val="fr-FR"/>
        </w:rPr>
        <w:t>b) Les déplacements</w:t>
      </w:r>
    </w:p>
    <w:p w:rsidRPr="00A86354" w:rsidR="00EB2954" w:rsidP="00A86354" w:rsidRDefault="00EB2954" w14:paraId="7AE07294" w14:textId="77777777">
      <w:pPr>
        <w:ind w:left="709"/>
        <w:rPr>
          <w:rFonts w:ascii="Arial" w:hAnsi="Arial" w:cs="Arial"/>
          <w:sz w:val="20"/>
          <w:szCs w:val="20"/>
          <w:lang w:val="fr-FR"/>
        </w:rPr>
      </w:pPr>
    </w:p>
    <w:p w:rsidRPr="00A86354" w:rsidR="00EB2954" w:rsidP="00A86354" w:rsidRDefault="00EB2954" w14:paraId="0F988BAF" w14:textId="5AC91BBA">
      <w:pPr>
        <w:ind w:left="709"/>
        <w:rPr>
          <w:rFonts w:ascii="Arial" w:hAnsi="Arial" w:cs="Arial"/>
          <w:sz w:val="20"/>
          <w:szCs w:val="20"/>
          <w:lang w:val="fr-FR"/>
        </w:rPr>
      </w:pPr>
      <w:r w:rsidRPr="00A86354">
        <w:rPr>
          <w:rFonts w:ascii="Arial" w:hAnsi="Arial" w:cs="Arial"/>
          <w:sz w:val="20"/>
          <w:szCs w:val="20"/>
          <w:lang w:val="fr-FR"/>
        </w:rPr>
        <w:t>Le temps quotidien d</w:t>
      </w:r>
      <w:r w:rsidRPr="00A86354" w:rsidR="0006032C">
        <w:rPr>
          <w:rFonts w:ascii="Arial" w:hAnsi="Arial" w:cs="Arial"/>
          <w:sz w:val="20"/>
          <w:szCs w:val="20"/>
          <w:lang w:val="fr-FR"/>
        </w:rPr>
        <w:t>’</w:t>
      </w:r>
      <w:r w:rsidRPr="00A86354">
        <w:rPr>
          <w:rFonts w:ascii="Arial" w:hAnsi="Arial" w:cs="Arial"/>
          <w:sz w:val="20"/>
          <w:szCs w:val="20"/>
          <w:lang w:val="fr-FR"/>
        </w:rPr>
        <w:t>aide humaine pour les déplacements dans le logement peut atteindre 35</w:t>
      </w:r>
      <w:r w:rsidRPr="00A86354" w:rsidR="000D7BE7">
        <w:rPr>
          <w:rFonts w:ascii="Arial" w:hAnsi="Arial" w:cs="Arial"/>
          <w:sz w:val="20"/>
          <w:szCs w:val="20"/>
          <w:lang w:val="fr-FR"/>
        </w:rPr>
        <w:t> </w:t>
      </w:r>
      <w:r w:rsidRPr="00A86354">
        <w:rPr>
          <w:rFonts w:ascii="Arial" w:hAnsi="Arial" w:cs="Arial"/>
          <w:sz w:val="20"/>
          <w:szCs w:val="20"/>
          <w:lang w:val="fr-FR"/>
        </w:rPr>
        <w:t>minutes. Il s</w:t>
      </w:r>
      <w:r w:rsidRPr="00A86354" w:rsidR="0006032C">
        <w:rPr>
          <w:rFonts w:ascii="Arial" w:hAnsi="Arial" w:cs="Arial"/>
          <w:sz w:val="20"/>
          <w:szCs w:val="20"/>
          <w:lang w:val="fr-FR"/>
        </w:rPr>
        <w:t>’</w:t>
      </w:r>
      <w:r w:rsidRPr="00A86354">
        <w:rPr>
          <w:rFonts w:ascii="Arial" w:hAnsi="Arial" w:cs="Arial"/>
          <w:sz w:val="20"/>
          <w:szCs w:val="20"/>
          <w:lang w:val="fr-FR"/>
        </w:rPr>
        <w:t>agit notamment d</w:t>
      </w:r>
      <w:r w:rsidRPr="00A86354" w:rsidR="0006032C">
        <w:rPr>
          <w:rFonts w:ascii="Arial" w:hAnsi="Arial" w:cs="Arial"/>
          <w:sz w:val="20"/>
          <w:szCs w:val="20"/>
          <w:lang w:val="fr-FR"/>
        </w:rPr>
        <w:t>’</w:t>
      </w:r>
      <w:r w:rsidRPr="00A86354">
        <w:rPr>
          <w:rFonts w:ascii="Arial" w:hAnsi="Arial" w:cs="Arial"/>
          <w:sz w:val="20"/>
          <w:szCs w:val="20"/>
          <w:lang w:val="fr-FR"/>
        </w:rPr>
        <w:t>une aide aux transferts, à la marche, pour monter ou descendre les escaliers ou d</w:t>
      </w:r>
      <w:r w:rsidRPr="00A86354" w:rsidR="0006032C">
        <w:rPr>
          <w:rFonts w:ascii="Arial" w:hAnsi="Arial" w:cs="Arial"/>
          <w:sz w:val="20"/>
          <w:szCs w:val="20"/>
          <w:lang w:val="fr-FR"/>
        </w:rPr>
        <w:t>’</w:t>
      </w:r>
      <w:r w:rsidRPr="00A86354">
        <w:rPr>
          <w:rFonts w:ascii="Arial" w:hAnsi="Arial" w:cs="Arial"/>
          <w:sz w:val="20"/>
          <w:szCs w:val="20"/>
          <w:lang w:val="fr-FR"/>
        </w:rPr>
        <w:t>une aide pour manipuler un fauteuil roulant.</w:t>
      </w:r>
    </w:p>
    <w:p w:rsidRPr="00A86354" w:rsidR="00EB2954" w:rsidP="00A86354" w:rsidRDefault="00EB2954" w14:paraId="6A336C0C" w14:textId="77777777">
      <w:pPr>
        <w:ind w:left="709"/>
        <w:rPr>
          <w:rFonts w:ascii="Arial" w:hAnsi="Arial" w:cs="Arial"/>
          <w:sz w:val="20"/>
          <w:szCs w:val="20"/>
          <w:lang w:val="fr-FR"/>
        </w:rPr>
      </w:pPr>
    </w:p>
    <w:p w:rsidRPr="00A86354" w:rsidR="00EB2954" w:rsidP="00A86354" w:rsidRDefault="002C5D46" w14:paraId="51C50065" w14:textId="634F02C6">
      <w:pPr>
        <w:ind w:left="709"/>
        <w:rPr>
          <w:rFonts w:ascii="Arial" w:hAnsi="Arial" w:cs="Arial"/>
          <w:sz w:val="20"/>
          <w:szCs w:val="20"/>
          <w:lang w:val="fr-FR"/>
        </w:rPr>
      </w:pPr>
      <w:r w:rsidRPr="00A86354">
        <w:rPr>
          <w:rFonts w:ascii="Arial" w:hAnsi="Arial" w:cs="Arial"/>
          <w:sz w:val="20"/>
          <w:szCs w:val="20"/>
          <w:lang w:val="fr-FR"/>
        </w:rPr>
        <w:t>[...]</w:t>
      </w:r>
    </w:p>
    <w:p w:rsidRPr="00A86354" w:rsidR="00EB2954" w:rsidP="00A86354" w:rsidRDefault="00EB2954" w14:paraId="0DACFC16" w14:textId="77777777">
      <w:pPr>
        <w:ind w:left="709"/>
        <w:rPr>
          <w:rFonts w:ascii="Arial" w:hAnsi="Arial" w:cs="Arial"/>
          <w:sz w:val="20"/>
          <w:szCs w:val="20"/>
          <w:lang w:val="fr-FR"/>
        </w:rPr>
      </w:pPr>
    </w:p>
    <w:p w:rsidRPr="00A86354" w:rsidR="00EB2954" w:rsidP="00A86354" w:rsidRDefault="00EB2954" w14:paraId="404F7FDB" w14:textId="260B1D4C">
      <w:pPr>
        <w:ind w:left="709"/>
        <w:rPr>
          <w:rFonts w:ascii="Arial" w:hAnsi="Arial" w:cs="Arial"/>
          <w:sz w:val="20"/>
          <w:szCs w:val="20"/>
          <w:lang w:val="fr-FR"/>
        </w:rPr>
      </w:pPr>
      <w:r w:rsidRPr="00A86354">
        <w:rPr>
          <w:rFonts w:ascii="Arial" w:hAnsi="Arial" w:cs="Arial"/>
          <w:sz w:val="20"/>
          <w:szCs w:val="20"/>
          <w:lang w:val="fr-FR"/>
        </w:rPr>
        <w:t>Les déplacements à l</w:t>
      </w:r>
      <w:r w:rsidRPr="00A86354" w:rsidR="0006032C">
        <w:rPr>
          <w:rFonts w:ascii="Arial" w:hAnsi="Arial" w:cs="Arial"/>
          <w:sz w:val="20"/>
          <w:szCs w:val="20"/>
          <w:lang w:val="fr-FR"/>
        </w:rPr>
        <w:t>’</w:t>
      </w:r>
      <w:r w:rsidRPr="00A86354">
        <w:rPr>
          <w:rFonts w:ascii="Arial" w:hAnsi="Arial" w:cs="Arial"/>
          <w:sz w:val="20"/>
          <w:szCs w:val="20"/>
          <w:lang w:val="fr-FR"/>
        </w:rPr>
        <w:t>extérieur exigés par des démarches liées au handicap de la personne et nécessitant la présence personnelle de celle-ci peuvent majorer le temps d</w:t>
      </w:r>
      <w:r w:rsidRPr="00A86354" w:rsidR="0006032C">
        <w:rPr>
          <w:rFonts w:ascii="Arial" w:hAnsi="Arial" w:cs="Arial"/>
          <w:sz w:val="20"/>
          <w:szCs w:val="20"/>
          <w:lang w:val="fr-FR"/>
        </w:rPr>
        <w:t>’</w:t>
      </w:r>
      <w:r w:rsidRPr="00A86354">
        <w:rPr>
          <w:rFonts w:ascii="Arial" w:hAnsi="Arial" w:cs="Arial"/>
          <w:sz w:val="20"/>
          <w:szCs w:val="20"/>
          <w:lang w:val="fr-FR"/>
        </w:rPr>
        <w:t>aide attribué au titre des déplacements à concurrence de 30 heures par an.</w:t>
      </w:r>
    </w:p>
    <w:p w:rsidRPr="00A86354" w:rsidR="00EB2954" w:rsidP="00A86354" w:rsidRDefault="00EB2954" w14:paraId="44E8C050" w14:textId="77777777">
      <w:pPr>
        <w:ind w:left="709"/>
        <w:rPr>
          <w:rFonts w:ascii="Arial" w:hAnsi="Arial" w:cs="Arial"/>
          <w:sz w:val="20"/>
          <w:szCs w:val="20"/>
          <w:lang w:val="fr-FR"/>
        </w:rPr>
      </w:pPr>
    </w:p>
    <w:p w:rsidRPr="00A86354" w:rsidR="00EB2954" w:rsidP="00A86354" w:rsidRDefault="002C5D46" w14:paraId="3026890B" w14:textId="17DCB7B6">
      <w:pPr>
        <w:ind w:left="709"/>
        <w:rPr>
          <w:rFonts w:ascii="Arial" w:hAnsi="Arial" w:cs="Arial"/>
          <w:sz w:val="20"/>
          <w:szCs w:val="20"/>
          <w:lang w:val="fr-FR"/>
        </w:rPr>
      </w:pPr>
      <w:r w:rsidRPr="00A86354">
        <w:rPr>
          <w:rFonts w:ascii="Arial" w:hAnsi="Arial" w:cs="Arial"/>
          <w:sz w:val="20"/>
          <w:szCs w:val="20"/>
          <w:lang w:val="fr-FR"/>
        </w:rPr>
        <w:t>[...]</w:t>
      </w:r>
    </w:p>
    <w:p w:rsidRPr="00A86354" w:rsidR="00EB2954" w:rsidP="00A86354" w:rsidRDefault="00EB2954" w14:paraId="51642584" w14:textId="77777777">
      <w:pPr>
        <w:ind w:left="709"/>
        <w:rPr>
          <w:rFonts w:ascii="Arial" w:hAnsi="Arial" w:cs="Arial"/>
          <w:iCs/>
          <w:sz w:val="20"/>
          <w:szCs w:val="20"/>
          <w:lang w:val="fr-FR"/>
        </w:rPr>
      </w:pPr>
      <w:r w:rsidRPr="00A86354">
        <w:rPr>
          <w:rFonts w:ascii="Arial" w:hAnsi="Arial" w:cs="Arial"/>
          <w:iCs/>
          <w:sz w:val="20"/>
          <w:szCs w:val="20"/>
          <w:lang w:val="fr-FR"/>
        </w:rPr>
        <w:t>c) La participation à la vie sociale</w:t>
      </w:r>
    </w:p>
    <w:p w:rsidRPr="00A86354" w:rsidR="00624C66" w:rsidP="00624C66" w:rsidRDefault="00624C66" w14:paraId="730106F6" w14:textId="77777777">
      <w:pPr>
        <w:ind w:left="709"/>
        <w:rPr>
          <w:rFonts w:ascii="Arial" w:hAnsi="Arial" w:cs="Arial"/>
          <w:iCs/>
          <w:sz w:val="20"/>
          <w:szCs w:val="20"/>
          <w:lang w:val="fr-FR"/>
        </w:rPr>
      </w:pPr>
    </w:p>
    <w:p w:rsidRPr="00A86354" w:rsidR="00EB2954" w:rsidP="00A86354" w:rsidRDefault="00EB2954" w14:paraId="0A000D7A" w14:textId="5C278408">
      <w:pPr>
        <w:ind w:left="709"/>
        <w:rPr>
          <w:rFonts w:ascii="Arial" w:hAnsi="Arial" w:cs="Arial"/>
          <w:iCs/>
          <w:sz w:val="20"/>
          <w:szCs w:val="20"/>
          <w:lang w:val="fr-FR"/>
        </w:rPr>
      </w:pPr>
      <w:r w:rsidRPr="00A86354">
        <w:rPr>
          <w:rFonts w:ascii="Arial" w:hAnsi="Arial" w:cs="Arial"/>
          <w:iCs/>
          <w:sz w:val="20"/>
          <w:szCs w:val="20"/>
          <w:lang w:val="fr-FR"/>
        </w:rPr>
        <w:lastRenderedPageBreak/>
        <w:t>La notion de participation à la vie sociale repose, fondamentalement, sur les besoins d</w:t>
      </w:r>
      <w:r w:rsidRPr="00A86354" w:rsidR="0006032C">
        <w:rPr>
          <w:rFonts w:ascii="Arial" w:hAnsi="Arial" w:cs="Arial"/>
          <w:iCs/>
          <w:sz w:val="20"/>
          <w:szCs w:val="20"/>
          <w:lang w:val="fr-FR"/>
        </w:rPr>
        <w:t>’</w:t>
      </w:r>
      <w:r w:rsidRPr="00A86354">
        <w:rPr>
          <w:rFonts w:ascii="Arial" w:hAnsi="Arial" w:cs="Arial"/>
          <w:iCs/>
          <w:sz w:val="20"/>
          <w:szCs w:val="20"/>
          <w:lang w:val="fr-FR"/>
        </w:rPr>
        <w:t>aide humaine pour se déplacer à l</w:t>
      </w:r>
      <w:r w:rsidRPr="00A86354" w:rsidR="0006032C">
        <w:rPr>
          <w:rFonts w:ascii="Arial" w:hAnsi="Arial" w:cs="Arial"/>
          <w:iCs/>
          <w:sz w:val="20"/>
          <w:szCs w:val="20"/>
          <w:lang w:val="fr-FR"/>
        </w:rPr>
        <w:t>’</w:t>
      </w:r>
      <w:r w:rsidRPr="00A86354">
        <w:rPr>
          <w:rFonts w:ascii="Arial" w:hAnsi="Arial" w:cs="Arial"/>
          <w:iCs/>
          <w:sz w:val="20"/>
          <w:szCs w:val="20"/>
          <w:lang w:val="fr-FR"/>
        </w:rPr>
        <w:t>extérieur et pour communiquer afin d</w:t>
      </w:r>
      <w:r w:rsidRPr="00A86354" w:rsidR="0006032C">
        <w:rPr>
          <w:rFonts w:ascii="Arial" w:hAnsi="Arial" w:cs="Arial"/>
          <w:iCs/>
          <w:sz w:val="20"/>
          <w:szCs w:val="20"/>
          <w:lang w:val="fr-FR"/>
        </w:rPr>
        <w:t>’</w:t>
      </w:r>
      <w:r w:rsidRPr="00A86354">
        <w:rPr>
          <w:rFonts w:ascii="Arial" w:hAnsi="Arial" w:cs="Arial"/>
          <w:iCs/>
          <w:sz w:val="20"/>
          <w:szCs w:val="20"/>
          <w:lang w:val="fr-FR"/>
        </w:rPr>
        <w:t>accéder notamment aux loisirs, à la culture, à la vie associative, etc.</w:t>
      </w:r>
    </w:p>
    <w:p w:rsidRPr="00A86354" w:rsidR="00624C66" w:rsidP="00624C66" w:rsidRDefault="00624C66" w14:paraId="69807AD6" w14:textId="77777777">
      <w:pPr>
        <w:ind w:left="709"/>
        <w:rPr>
          <w:rFonts w:ascii="Arial" w:hAnsi="Arial" w:cs="Arial"/>
          <w:iCs/>
          <w:sz w:val="20"/>
          <w:szCs w:val="20"/>
          <w:lang w:val="fr-FR"/>
        </w:rPr>
      </w:pPr>
    </w:p>
    <w:p w:rsidRPr="00A86354" w:rsidR="00EB2954" w:rsidP="00A86354" w:rsidRDefault="00EB2954" w14:paraId="3F11B09A" w14:textId="09750654">
      <w:pPr>
        <w:ind w:left="709"/>
        <w:rPr>
          <w:rFonts w:ascii="Arial" w:hAnsi="Arial" w:cs="Arial"/>
          <w:iCs/>
          <w:sz w:val="20"/>
          <w:szCs w:val="20"/>
          <w:lang w:val="fr-FR"/>
        </w:rPr>
      </w:pPr>
      <w:r w:rsidRPr="00A86354">
        <w:rPr>
          <w:rFonts w:ascii="Arial" w:hAnsi="Arial" w:cs="Arial"/>
          <w:iCs/>
          <w:sz w:val="20"/>
          <w:szCs w:val="20"/>
          <w:lang w:val="fr-FR"/>
        </w:rPr>
        <w:t>Le temps d</w:t>
      </w:r>
      <w:r w:rsidRPr="00A86354" w:rsidR="0006032C">
        <w:rPr>
          <w:rFonts w:ascii="Arial" w:hAnsi="Arial" w:cs="Arial"/>
          <w:iCs/>
          <w:sz w:val="20"/>
          <w:szCs w:val="20"/>
          <w:lang w:val="fr-FR"/>
        </w:rPr>
        <w:t>’</w:t>
      </w:r>
      <w:r w:rsidRPr="00A86354">
        <w:rPr>
          <w:rFonts w:ascii="Arial" w:hAnsi="Arial" w:cs="Arial"/>
          <w:iCs/>
          <w:sz w:val="20"/>
          <w:szCs w:val="20"/>
          <w:lang w:val="fr-FR"/>
        </w:rPr>
        <w:t>aide humaine pour la participation à la vie sociale peut atteindre 30 heures par mois.</w:t>
      </w:r>
    </w:p>
    <w:p w:rsidRPr="00A86354" w:rsidR="00624C66" w:rsidP="00624C66" w:rsidRDefault="00624C66" w14:paraId="5F3F0126" w14:textId="77777777">
      <w:pPr>
        <w:ind w:left="709"/>
        <w:rPr>
          <w:rFonts w:ascii="Arial" w:hAnsi="Arial" w:cs="Arial"/>
          <w:iCs/>
          <w:sz w:val="20"/>
          <w:szCs w:val="20"/>
          <w:lang w:val="fr-FR"/>
        </w:rPr>
      </w:pPr>
    </w:p>
    <w:p w:rsidRPr="00A86354" w:rsidR="00EB2954" w:rsidP="00A86354" w:rsidRDefault="002C5D46" w14:paraId="24B0CF07" w14:textId="00F55809">
      <w:pPr>
        <w:ind w:left="709"/>
        <w:rPr>
          <w:rFonts w:ascii="Arial" w:hAnsi="Arial" w:cs="Arial"/>
          <w:iCs/>
          <w:sz w:val="20"/>
          <w:szCs w:val="20"/>
          <w:lang w:val="fr-FR"/>
        </w:rPr>
      </w:pPr>
      <w:r w:rsidRPr="00A86354">
        <w:rPr>
          <w:rFonts w:ascii="Arial" w:hAnsi="Arial" w:cs="Arial"/>
          <w:iCs/>
          <w:sz w:val="20"/>
          <w:szCs w:val="20"/>
          <w:lang w:val="fr-FR"/>
        </w:rPr>
        <w:t>[...]</w:t>
      </w:r>
    </w:p>
    <w:p w:rsidRPr="00A86354" w:rsidR="00624C66" w:rsidP="00624C66" w:rsidRDefault="00624C66" w14:paraId="3D1D7A8D" w14:textId="77777777">
      <w:pPr>
        <w:ind w:left="709"/>
        <w:rPr>
          <w:rFonts w:ascii="Arial" w:hAnsi="Arial" w:cs="Arial"/>
          <w:iCs/>
          <w:sz w:val="20"/>
          <w:szCs w:val="20"/>
          <w:lang w:val="fr-FR"/>
        </w:rPr>
      </w:pPr>
    </w:p>
    <w:p w:rsidRPr="00A86354" w:rsidR="00EB2954" w:rsidP="00A86354" w:rsidRDefault="00EB2954" w14:paraId="2E02F32C" w14:textId="0F1BEB45">
      <w:pPr>
        <w:ind w:left="709"/>
        <w:rPr>
          <w:rFonts w:ascii="Arial" w:hAnsi="Arial" w:cs="Arial"/>
          <w:iCs/>
          <w:sz w:val="20"/>
          <w:szCs w:val="20"/>
          <w:lang w:val="fr-FR"/>
        </w:rPr>
      </w:pPr>
      <w:r w:rsidRPr="00A86354">
        <w:rPr>
          <w:rFonts w:ascii="Arial" w:hAnsi="Arial" w:cs="Arial"/>
          <w:iCs/>
          <w:sz w:val="20"/>
          <w:szCs w:val="20"/>
          <w:lang w:val="fr-FR"/>
        </w:rPr>
        <w:t>d) Les besoins éducatifs</w:t>
      </w:r>
      <w:r w:rsidRPr="00A86354" w:rsidR="000807D5">
        <w:rPr>
          <w:rFonts w:ascii="Arial" w:hAnsi="Arial" w:cs="Arial"/>
          <w:iCs/>
          <w:sz w:val="20"/>
          <w:szCs w:val="20"/>
          <w:lang w:val="fr-FR"/>
        </w:rPr>
        <w:t> :</w:t>
      </w:r>
    </w:p>
    <w:p w:rsidRPr="00A86354" w:rsidR="00624C66" w:rsidP="00624C66" w:rsidRDefault="00624C66" w14:paraId="46FCEF31" w14:textId="77777777">
      <w:pPr>
        <w:ind w:left="709"/>
        <w:rPr>
          <w:rFonts w:ascii="Arial" w:hAnsi="Arial" w:cs="Arial"/>
          <w:iCs/>
          <w:sz w:val="20"/>
          <w:szCs w:val="20"/>
          <w:lang w:val="fr-FR"/>
        </w:rPr>
      </w:pPr>
    </w:p>
    <w:p w:rsidRPr="00A86354" w:rsidR="00EB2954" w:rsidP="00A86354" w:rsidRDefault="00EB2954" w14:paraId="4237983B" w14:textId="2EF34DD0">
      <w:pPr>
        <w:ind w:left="709"/>
        <w:rPr>
          <w:rFonts w:ascii="Arial" w:hAnsi="Arial" w:cs="Arial"/>
          <w:iCs/>
          <w:sz w:val="20"/>
          <w:szCs w:val="20"/>
          <w:lang w:val="fr-FR"/>
        </w:rPr>
      </w:pPr>
      <w:r w:rsidRPr="00A86354">
        <w:rPr>
          <w:rFonts w:ascii="Arial" w:hAnsi="Arial" w:cs="Arial"/>
          <w:iCs/>
          <w:sz w:val="20"/>
          <w:szCs w:val="20"/>
          <w:lang w:val="fr-FR"/>
        </w:rPr>
        <w:t>La prise en compte des besoins éducatifs des enfants et des adolescents soumis à l</w:t>
      </w:r>
      <w:r w:rsidRPr="00A86354" w:rsidR="0006032C">
        <w:rPr>
          <w:rFonts w:ascii="Arial" w:hAnsi="Arial" w:cs="Arial"/>
          <w:iCs/>
          <w:sz w:val="20"/>
          <w:szCs w:val="20"/>
          <w:lang w:val="fr-FR"/>
        </w:rPr>
        <w:t>’</w:t>
      </w:r>
      <w:r w:rsidRPr="00A86354">
        <w:rPr>
          <w:rFonts w:ascii="Arial" w:hAnsi="Arial" w:cs="Arial"/>
          <w:iCs/>
          <w:sz w:val="20"/>
          <w:szCs w:val="20"/>
          <w:lang w:val="fr-FR"/>
        </w:rPr>
        <w:t>obligation scolaire pendant la période nécessaire à la mise en œuvre d</w:t>
      </w:r>
      <w:r w:rsidRPr="00A86354" w:rsidR="0006032C">
        <w:rPr>
          <w:rFonts w:ascii="Arial" w:hAnsi="Arial" w:cs="Arial"/>
          <w:iCs/>
          <w:sz w:val="20"/>
          <w:szCs w:val="20"/>
          <w:lang w:val="fr-FR"/>
        </w:rPr>
        <w:t>’</w:t>
      </w:r>
      <w:r w:rsidRPr="00A86354">
        <w:rPr>
          <w:rFonts w:ascii="Arial" w:hAnsi="Arial" w:cs="Arial"/>
          <w:iCs/>
          <w:sz w:val="20"/>
          <w:szCs w:val="20"/>
          <w:lang w:val="fr-FR"/>
        </w:rPr>
        <w:t>une décision de la commission des droits et de l</w:t>
      </w:r>
      <w:r w:rsidRPr="00A86354" w:rsidR="0006032C">
        <w:rPr>
          <w:rFonts w:ascii="Arial" w:hAnsi="Arial" w:cs="Arial"/>
          <w:iCs/>
          <w:sz w:val="20"/>
          <w:szCs w:val="20"/>
          <w:lang w:val="fr-FR"/>
        </w:rPr>
        <w:t>’</w:t>
      </w:r>
      <w:r w:rsidRPr="00A86354">
        <w:rPr>
          <w:rFonts w:ascii="Arial" w:hAnsi="Arial" w:cs="Arial"/>
          <w:iCs/>
          <w:sz w:val="20"/>
          <w:szCs w:val="20"/>
          <w:lang w:val="fr-FR"/>
        </w:rPr>
        <w:t>autonomie d</w:t>
      </w:r>
      <w:r w:rsidRPr="00A86354" w:rsidR="0006032C">
        <w:rPr>
          <w:rFonts w:ascii="Arial" w:hAnsi="Arial" w:cs="Arial"/>
          <w:iCs/>
          <w:sz w:val="20"/>
          <w:szCs w:val="20"/>
          <w:lang w:val="fr-FR"/>
        </w:rPr>
        <w:t>’</w:t>
      </w:r>
      <w:r w:rsidRPr="00A86354">
        <w:rPr>
          <w:rFonts w:ascii="Arial" w:hAnsi="Arial" w:cs="Arial"/>
          <w:iCs/>
          <w:sz w:val="20"/>
          <w:szCs w:val="20"/>
          <w:lang w:val="fr-FR"/>
        </w:rPr>
        <w:t>orientation à temps plein ou à temps partiel vers un établissement mentionné au 2° du I de l</w:t>
      </w:r>
      <w:r w:rsidRPr="00A86354" w:rsidR="0006032C">
        <w:rPr>
          <w:rFonts w:ascii="Arial" w:hAnsi="Arial" w:cs="Arial"/>
          <w:iCs/>
          <w:sz w:val="20"/>
          <w:szCs w:val="20"/>
          <w:lang w:val="fr-FR"/>
        </w:rPr>
        <w:t>’</w:t>
      </w:r>
      <w:r w:rsidRPr="00A86354">
        <w:rPr>
          <w:rFonts w:ascii="Arial" w:hAnsi="Arial" w:cs="Arial"/>
          <w:iCs/>
          <w:sz w:val="20"/>
          <w:szCs w:val="20"/>
          <w:lang w:val="fr-FR"/>
        </w:rPr>
        <w:t>article L. 312-1 du présent code donne lieu à l</w:t>
      </w:r>
      <w:r w:rsidRPr="00A86354" w:rsidR="0006032C">
        <w:rPr>
          <w:rFonts w:ascii="Arial" w:hAnsi="Arial" w:cs="Arial"/>
          <w:iCs/>
          <w:sz w:val="20"/>
          <w:szCs w:val="20"/>
          <w:lang w:val="fr-FR"/>
        </w:rPr>
        <w:t>’</w:t>
      </w:r>
      <w:r w:rsidRPr="00A86354">
        <w:rPr>
          <w:rFonts w:ascii="Arial" w:hAnsi="Arial" w:cs="Arial"/>
          <w:iCs/>
          <w:sz w:val="20"/>
          <w:szCs w:val="20"/>
          <w:lang w:val="fr-FR"/>
        </w:rPr>
        <w:t>attribution d</w:t>
      </w:r>
      <w:r w:rsidRPr="00A86354" w:rsidR="0006032C">
        <w:rPr>
          <w:rFonts w:ascii="Arial" w:hAnsi="Arial" w:cs="Arial"/>
          <w:iCs/>
          <w:sz w:val="20"/>
          <w:szCs w:val="20"/>
          <w:lang w:val="fr-FR"/>
        </w:rPr>
        <w:t>’</w:t>
      </w:r>
      <w:r w:rsidRPr="00A86354">
        <w:rPr>
          <w:rFonts w:ascii="Arial" w:hAnsi="Arial" w:cs="Arial"/>
          <w:iCs/>
          <w:sz w:val="20"/>
          <w:szCs w:val="20"/>
          <w:lang w:val="fr-FR"/>
        </w:rPr>
        <w:t>un temps d</w:t>
      </w:r>
      <w:r w:rsidRPr="00A86354" w:rsidR="0006032C">
        <w:rPr>
          <w:rFonts w:ascii="Arial" w:hAnsi="Arial" w:cs="Arial"/>
          <w:iCs/>
          <w:sz w:val="20"/>
          <w:szCs w:val="20"/>
          <w:lang w:val="fr-FR"/>
        </w:rPr>
        <w:t>’</w:t>
      </w:r>
      <w:r w:rsidRPr="00A86354">
        <w:rPr>
          <w:rFonts w:ascii="Arial" w:hAnsi="Arial" w:cs="Arial"/>
          <w:iCs/>
          <w:sz w:val="20"/>
          <w:szCs w:val="20"/>
          <w:lang w:val="fr-FR"/>
        </w:rPr>
        <w:t xml:space="preserve">aide humaine de 30 heures par mois. </w:t>
      </w:r>
    </w:p>
    <w:p w:rsidRPr="00A86354" w:rsidR="00624C66" w:rsidP="00624C66" w:rsidRDefault="00624C66" w14:paraId="3A4D5EF1" w14:textId="77777777">
      <w:pPr>
        <w:ind w:left="709"/>
        <w:rPr>
          <w:rFonts w:ascii="Arial" w:hAnsi="Arial" w:cs="Arial"/>
          <w:iCs/>
          <w:sz w:val="20"/>
          <w:szCs w:val="20"/>
          <w:lang w:val="fr-FR"/>
        </w:rPr>
      </w:pPr>
    </w:p>
    <w:p w:rsidRPr="00A86354" w:rsidR="00EB2954" w:rsidP="00A86354" w:rsidRDefault="002C5D46" w14:paraId="69D7E094" w14:textId="70710157">
      <w:pPr>
        <w:ind w:left="709"/>
        <w:rPr>
          <w:rFonts w:ascii="Arial" w:hAnsi="Arial" w:cs="Arial"/>
          <w:iCs/>
          <w:sz w:val="20"/>
          <w:szCs w:val="20"/>
          <w:lang w:val="fr-FR"/>
        </w:rPr>
      </w:pPr>
      <w:r w:rsidRPr="00A86354">
        <w:rPr>
          <w:rFonts w:ascii="Arial" w:hAnsi="Arial" w:cs="Arial"/>
          <w:iCs/>
          <w:sz w:val="20"/>
          <w:szCs w:val="20"/>
          <w:lang w:val="fr-FR"/>
        </w:rPr>
        <w:t>[...]</w:t>
      </w:r>
    </w:p>
    <w:p w:rsidRPr="00A86354" w:rsidR="00EB2954" w:rsidP="00A86354" w:rsidRDefault="00EB2954" w14:paraId="19CF831B" w14:textId="77777777">
      <w:pPr>
        <w:ind w:left="709"/>
        <w:rPr>
          <w:rFonts w:ascii="Arial" w:hAnsi="Arial" w:cs="Arial"/>
          <w:sz w:val="20"/>
          <w:szCs w:val="20"/>
          <w:lang w:val="fr-FR"/>
        </w:rPr>
      </w:pPr>
    </w:p>
    <w:p w:rsidRPr="00A86354" w:rsidR="00EB2954" w:rsidP="00A86354" w:rsidRDefault="00EB2954" w14:paraId="48E56785" w14:textId="13967979">
      <w:pPr>
        <w:ind w:left="709"/>
        <w:rPr>
          <w:rFonts w:ascii="Arial" w:hAnsi="Arial" w:cs="Arial"/>
          <w:sz w:val="20"/>
          <w:szCs w:val="20"/>
          <w:lang w:val="fr-FR"/>
        </w:rPr>
      </w:pPr>
      <w:r w:rsidRPr="00A86354">
        <w:rPr>
          <w:rFonts w:ascii="Arial" w:hAnsi="Arial" w:cs="Arial"/>
          <w:sz w:val="20"/>
          <w:szCs w:val="20"/>
          <w:lang w:val="fr-FR"/>
        </w:rPr>
        <w:t xml:space="preserve">1. </w:t>
      </w:r>
      <w:r w:rsidRPr="00A86354">
        <w:rPr>
          <w:rFonts w:ascii="Arial" w:hAnsi="Arial" w:cs="Arial"/>
          <w:iCs/>
          <w:sz w:val="20"/>
          <w:szCs w:val="20"/>
          <w:lang w:val="fr-FR"/>
        </w:rPr>
        <w:t>Les personnes qui s</w:t>
      </w:r>
      <w:r w:rsidRPr="00A86354" w:rsidR="0006032C">
        <w:rPr>
          <w:rFonts w:ascii="Arial" w:hAnsi="Arial" w:cs="Arial"/>
          <w:iCs/>
          <w:sz w:val="20"/>
          <w:szCs w:val="20"/>
          <w:lang w:val="fr-FR"/>
        </w:rPr>
        <w:t>’</w:t>
      </w:r>
      <w:r w:rsidRPr="00A86354">
        <w:rPr>
          <w:rFonts w:ascii="Arial" w:hAnsi="Arial" w:cs="Arial"/>
          <w:iCs/>
          <w:sz w:val="20"/>
          <w:szCs w:val="20"/>
          <w:lang w:val="fr-FR"/>
        </w:rPr>
        <w:t>exposent à un danger du fait d</w:t>
      </w:r>
      <w:r w:rsidRPr="00A86354" w:rsidR="0006032C">
        <w:rPr>
          <w:rFonts w:ascii="Arial" w:hAnsi="Arial" w:cs="Arial"/>
          <w:iCs/>
          <w:sz w:val="20"/>
          <w:szCs w:val="20"/>
          <w:lang w:val="fr-FR"/>
        </w:rPr>
        <w:t>’</w:t>
      </w:r>
      <w:r w:rsidRPr="00A86354">
        <w:rPr>
          <w:rFonts w:ascii="Arial" w:hAnsi="Arial" w:cs="Arial"/>
          <w:iCs/>
          <w:sz w:val="20"/>
          <w:szCs w:val="20"/>
          <w:lang w:val="fr-FR"/>
        </w:rPr>
        <w:t>une altération d</w:t>
      </w:r>
      <w:r w:rsidRPr="00A86354" w:rsidR="0006032C">
        <w:rPr>
          <w:rFonts w:ascii="Arial" w:hAnsi="Arial" w:cs="Arial"/>
          <w:iCs/>
          <w:sz w:val="20"/>
          <w:szCs w:val="20"/>
          <w:lang w:val="fr-FR"/>
        </w:rPr>
        <w:t>’</w:t>
      </w:r>
      <w:r w:rsidRPr="00A86354">
        <w:rPr>
          <w:rFonts w:ascii="Arial" w:hAnsi="Arial" w:cs="Arial"/>
          <w:iCs/>
          <w:sz w:val="20"/>
          <w:szCs w:val="20"/>
          <w:lang w:val="fr-FR"/>
        </w:rPr>
        <w:t>une ou plusieurs fonctions mentales, cognitives ou psychiques</w:t>
      </w:r>
      <w:r w:rsidRPr="00A86354" w:rsidR="000807D5">
        <w:rPr>
          <w:rFonts w:ascii="Arial" w:hAnsi="Arial" w:cs="Arial"/>
          <w:iCs/>
          <w:sz w:val="20"/>
          <w:szCs w:val="20"/>
          <w:lang w:val="fr-FR"/>
        </w:rPr>
        <w:t> ;</w:t>
      </w:r>
      <w:r w:rsidRPr="00A86354">
        <w:rPr>
          <w:rFonts w:ascii="Arial" w:hAnsi="Arial" w:cs="Arial"/>
          <w:sz w:val="20"/>
          <w:szCs w:val="20"/>
          <w:lang w:val="fr-FR"/>
        </w:rPr>
        <w:t xml:space="preserve"> </w:t>
      </w:r>
    </w:p>
    <w:p w:rsidRPr="00A86354" w:rsidR="00EB2954" w:rsidP="00A86354" w:rsidRDefault="00EB2954" w14:paraId="23C12273" w14:textId="77777777">
      <w:pPr>
        <w:ind w:left="709"/>
        <w:rPr>
          <w:rFonts w:ascii="Arial" w:hAnsi="Arial" w:cs="Arial"/>
          <w:sz w:val="20"/>
          <w:szCs w:val="20"/>
          <w:lang w:val="fr-FR"/>
        </w:rPr>
      </w:pPr>
    </w:p>
    <w:p w:rsidRPr="00A86354" w:rsidR="00EB2954" w:rsidP="00A86354" w:rsidRDefault="00EB2954" w14:paraId="4353540B" w14:textId="7D7AA822">
      <w:pPr>
        <w:ind w:left="709"/>
        <w:rPr>
          <w:rFonts w:ascii="Arial" w:hAnsi="Arial" w:cs="Arial"/>
          <w:sz w:val="20"/>
          <w:szCs w:val="20"/>
          <w:lang w:val="fr-FR"/>
        </w:rPr>
      </w:pPr>
      <w:r w:rsidRPr="00A86354">
        <w:rPr>
          <w:rFonts w:ascii="Arial" w:hAnsi="Arial" w:cs="Arial"/>
          <w:sz w:val="20"/>
          <w:szCs w:val="20"/>
          <w:lang w:val="fr-FR"/>
        </w:rPr>
        <w:t>Le temps de surveillance attribué au titre de la prestation de compensation peut atteindre 3 heures par jour.</w:t>
      </w:r>
      <w:r w:rsidRPr="00A86354" w:rsidR="000807D5">
        <w:rPr>
          <w:rFonts w:ascii="Arial" w:hAnsi="Arial" w:cs="Arial"/>
          <w:sz w:val="20"/>
          <w:szCs w:val="20"/>
          <w:lang w:val="fr-FR"/>
        </w:rPr>
        <w:t> »</w:t>
      </w:r>
    </w:p>
    <w:p w:rsidRPr="00A86354" w:rsidR="00EB2954" w:rsidP="00EB2954" w:rsidRDefault="00EB2954" w14:paraId="6ECC01A9" w14:textId="77777777">
      <w:pPr>
        <w:rPr>
          <w:rFonts w:ascii="Arial" w:hAnsi="Arial" w:cs="Arial"/>
          <w:lang w:val="fr-FR"/>
        </w:rPr>
      </w:pPr>
    </w:p>
    <w:p w:rsidRPr="00A86354" w:rsidR="00231821" w:rsidP="00CE016A" w:rsidRDefault="00363C2E" w14:paraId="66B7D1EA" w14:textId="7DFD26CC">
      <w:pPr>
        <w:pStyle w:val="ListParagraph"/>
        <w:numPr>
          <w:ilvl w:val="0"/>
          <w:numId w:val="9"/>
        </w:numPr>
        <w:ind w:left="0" w:firstLine="0"/>
        <w:rPr>
          <w:rFonts w:cs="Arial"/>
          <w:b/>
          <w:bCs/>
          <w:lang w:val="fr-FR"/>
        </w:rPr>
      </w:pPr>
      <w:r w:rsidRPr="00A86354">
        <w:rPr>
          <w:rFonts w:cs="Arial"/>
          <w:b/>
          <w:bCs/>
          <w:lang w:val="fr-FR"/>
        </w:rPr>
        <w:t xml:space="preserve">Allocation </w:t>
      </w:r>
      <w:r w:rsidRPr="00A86354" w:rsidR="00F00AF3">
        <w:rPr>
          <w:rFonts w:cs="Arial"/>
          <w:b/>
          <w:bCs/>
          <w:lang w:val="fr-FR"/>
        </w:rPr>
        <w:t>aux</w:t>
      </w:r>
      <w:r w:rsidRPr="00A86354" w:rsidR="00657369">
        <w:rPr>
          <w:rFonts w:cs="Arial"/>
          <w:b/>
          <w:bCs/>
          <w:lang w:val="fr-FR"/>
        </w:rPr>
        <w:t xml:space="preserve"> </w:t>
      </w:r>
      <w:r w:rsidRPr="00A86354">
        <w:rPr>
          <w:rFonts w:cs="Arial"/>
          <w:b/>
          <w:bCs/>
          <w:lang w:val="fr-FR"/>
        </w:rPr>
        <w:t>adulte</w:t>
      </w:r>
      <w:r w:rsidRPr="00A86354" w:rsidR="00657369">
        <w:rPr>
          <w:rFonts w:cs="Arial"/>
          <w:b/>
          <w:bCs/>
          <w:lang w:val="fr-FR"/>
        </w:rPr>
        <w:t>s</w:t>
      </w:r>
      <w:r w:rsidRPr="00A86354">
        <w:rPr>
          <w:rFonts w:cs="Arial"/>
          <w:b/>
          <w:bCs/>
          <w:lang w:val="fr-FR"/>
        </w:rPr>
        <w:t xml:space="preserve"> handicapé</w:t>
      </w:r>
      <w:r w:rsidRPr="00A86354" w:rsidR="00657369">
        <w:rPr>
          <w:rFonts w:cs="Arial"/>
          <w:b/>
          <w:bCs/>
          <w:lang w:val="fr-FR"/>
        </w:rPr>
        <w:t>s</w:t>
      </w:r>
      <w:r w:rsidRPr="00A86354" w:rsidR="00BA5601">
        <w:rPr>
          <w:rFonts w:cs="Arial"/>
          <w:b/>
          <w:bCs/>
          <w:lang w:val="fr-FR"/>
        </w:rPr>
        <w:t xml:space="preserve"> (AAH)</w:t>
      </w:r>
    </w:p>
    <w:p w:rsidRPr="00A86354" w:rsidR="00E15556" w:rsidP="00BA5601" w:rsidRDefault="00E15556" w14:paraId="4953D57D" w14:textId="77777777">
      <w:pPr>
        <w:rPr>
          <w:rFonts w:ascii="Arial" w:hAnsi="Arial" w:cs="Arial"/>
          <w:lang w:val="fr-FR"/>
        </w:rPr>
      </w:pPr>
    </w:p>
    <w:p w:rsidRPr="00A86354" w:rsidR="00E15556" w:rsidP="00CE016A" w:rsidRDefault="008B7890" w14:paraId="0AEB6734" w14:textId="0F6332C6">
      <w:pPr>
        <w:pStyle w:val="ListParagraph"/>
        <w:numPr>
          <w:ilvl w:val="0"/>
          <w:numId w:val="1"/>
        </w:numPr>
        <w:ind w:left="0" w:firstLine="0"/>
        <w:rPr>
          <w:rFonts w:cs="Arial"/>
          <w:lang w:val="fr-FR"/>
        </w:rPr>
      </w:pPr>
      <w:r w:rsidRPr="00A86354">
        <w:rPr>
          <w:rFonts w:cs="Arial"/>
          <w:lang w:val="fr-FR"/>
        </w:rPr>
        <w:t>L</w:t>
      </w:r>
      <w:r w:rsidRPr="00A86354" w:rsidR="0006032C">
        <w:rPr>
          <w:rFonts w:cs="Arial"/>
          <w:lang w:val="fr-FR"/>
        </w:rPr>
        <w:t>’</w:t>
      </w:r>
      <w:r w:rsidRPr="00A86354">
        <w:rPr>
          <w:rFonts w:cs="Arial"/>
          <w:lang w:val="fr-FR"/>
        </w:rPr>
        <w:t>AAH est une aide financière qui permet aux personnes handicapées d</w:t>
      </w:r>
      <w:r w:rsidRPr="00A86354" w:rsidR="0006032C">
        <w:rPr>
          <w:rFonts w:cs="Arial"/>
          <w:lang w:val="fr-FR"/>
        </w:rPr>
        <w:t>’</w:t>
      </w:r>
      <w:r w:rsidRPr="00A86354">
        <w:rPr>
          <w:rFonts w:cs="Arial"/>
          <w:lang w:val="fr-FR"/>
        </w:rPr>
        <w:t>avoir un minimum de ressources. Cette aide est attribuée sous réserve de respecter des critères d</w:t>
      </w:r>
      <w:r w:rsidRPr="00A86354" w:rsidR="0006032C">
        <w:rPr>
          <w:rFonts w:cs="Arial"/>
          <w:lang w:val="fr-FR"/>
        </w:rPr>
        <w:t>’</w:t>
      </w:r>
      <w:r w:rsidRPr="00A86354">
        <w:rPr>
          <w:rFonts w:cs="Arial"/>
          <w:lang w:val="fr-FR"/>
        </w:rPr>
        <w:t>incapacité, d</w:t>
      </w:r>
      <w:r w:rsidRPr="00A86354" w:rsidR="0006032C">
        <w:rPr>
          <w:rFonts w:cs="Arial"/>
          <w:lang w:val="fr-FR"/>
        </w:rPr>
        <w:t>’</w:t>
      </w:r>
      <w:r w:rsidRPr="00A86354">
        <w:rPr>
          <w:rFonts w:cs="Arial"/>
          <w:lang w:val="fr-FR"/>
        </w:rPr>
        <w:t xml:space="preserve">âge, de résidence et de ressources. Elle est accordée sur décision de la </w:t>
      </w:r>
      <w:r w:rsidRPr="00A86354" w:rsidR="006F1C2D">
        <w:rPr>
          <w:rFonts w:cs="Arial"/>
          <w:lang w:val="fr-FR"/>
        </w:rPr>
        <w:t>c</w:t>
      </w:r>
      <w:r w:rsidRPr="00A86354">
        <w:rPr>
          <w:rFonts w:cs="Arial"/>
          <w:lang w:val="fr-FR"/>
        </w:rPr>
        <w:t>ommission des droits et de l</w:t>
      </w:r>
      <w:r w:rsidRPr="00A86354" w:rsidR="0006032C">
        <w:rPr>
          <w:rFonts w:cs="Arial"/>
          <w:lang w:val="fr-FR"/>
        </w:rPr>
        <w:t>’</w:t>
      </w:r>
      <w:r w:rsidRPr="00A86354">
        <w:rPr>
          <w:rFonts w:cs="Arial"/>
          <w:lang w:val="fr-FR"/>
        </w:rPr>
        <w:t>autonomie des personnes handicapées. Son montant vient compléter d</w:t>
      </w:r>
      <w:r w:rsidRPr="00A86354" w:rsidR="0006032C">
        <w:rPr>
          <w:rFonts w:cs="Arial"/>
          <w:lang w:val="fr-FR"/>
        </w:rPr>
        <w:t>’</w:t>
      </w:r>
      <w:r w:rsidRPr="00A86354">
        <w:rPr>
          <w:rFonts w:cs="Arial"/>
          <w:lang w:val="fr-FR"/>
        </w:rPr>
        <w:t>autres ressources éventuelles</w:t>
      </w:r>
      <w:r w:rsidRPr="00A86354" w:rsidR="00E15556">
        <w:rPr>
          <w:rFonts w:cs="Arial"/>
          <w:lang w:val="fr-FR"/>
        </w:rPr>
        <w:t xml:space="preserve">. </w:t>
      </w:r>
      <w:r w:rsidRPr="00A86354" w:rsidR="005E0B93">
        <w:rPr>
          <w:rFonts w:cs="Arial"/>
          <w:lang w:val="fr-FR"/>
        </w:rPr>
        <w:t>S</w:t>
      </w:r>
      <w:r w:rsidRPr="00A86354">
        <w:rPr>
          <w:rFonts w:cs="Arial"/>
          <w:lang w:val="fr-FR"/>
        </w:rPr>
        <w:t>i l</w:t>
      </w:r>
      <w:r w:rsidRPr="00A86354" w:rsidR="0006032C">
        <w:rPr>
          <w:rFonts w:cs="Arial"/>
          <w:lang w:val="fr-FR"/>
        </w:rPr>
        <w:t>’</w:t>
      </w:r>
      <w:r w:rsidRPr="00A86354">
        <w:rPr>
          <w:rFonts w:cs="Arial"/>
          <w:lang w:val="fr-FR"/>
        </w:rPr>
        <w:t>in</w:t>
      </w:r>
      <w:r w:rsidRPr="00A86354" w:rsidR="005E0B93">
        <w:rPr>
          <w:rFonts w:cs="Arial"/>
          <w:lang w:val="fr-FR"/>
        </w:rPr>
        <w:t>téressé n</w:t>
      </w:r>
      <w:r w:rsidRPr="00A86354" w:rsidR="0006032C">
        <w:rPr>
          <w:rFonts w:cs="Arial"/>
          <w:lang w:val="fr-FR"/>
        </w:rPr>
        <w:t>’</w:t>
      </w:r>
      <w:r w:rsidRPr="00A86354" w:rsidR="005E0B93">
        <w:rPr>
          <w:rFonts w:cs="Arial"/>
          <w:lang w:val="fr-FR"/>
        </w:rPr>
        <w:t>a aucune ressource, il reçoit le montant maximal de l</w:t>
      </w:r>
      <w:r w:rsidRPr="00A86354" w:rsidR="0006032C">
        <w:rPr>
          <w:rFonts w:cs="Arial"/>
          <w:lang w:val="fr-FR"/>
        </w:rPr>
        <w:t>’</w:t>
      </w:r>
      <w:r w:rsidRPr="00A86354" w:rsidR="005E0B93">
        <w:rPr>
          <w:rFonts w:cs="Arial"/>
          <w:lang w:val="fr-FR"/>
        </w:rPr>
        <w:t xml:space="preserve">AAH qui est de </w:t>
      </w:r>
      <w:r w:rsidRPr="00A86354" w:rsidR="00222FAB">
        <w:rPr>
          <w:rFonts w:cs="Arial"/>
          <w:lang w:val="fr-FR"/>
        </w:rPr>
        <w:t>9</w:t>
      </w:r>
      <w:r w:rsidRPr="00A86354" w:rsidR="00183B9B">
        <w:rPr>
          <w:rFonts w:cs="Arial"/>
          <w:lang w:val="fr-FR"/>
        </w:rPr>
        <w:t>56.65</w:t>
      </w:r>
      <w:r w:rsidRPr="00A86354" w:rsidR="00222FAB">
        <w:rPr>
          <w:rFonts w:cs="Arial"/>
          <w:lang w:val="fr-FR"/>
        </w:rPr>
        <w:t xml:space="preserve"> </w:t>
      </w:r>
      <w:r w:rsidRPr="00A86354" w:rsidR="00CC45E8">
        <w:rPr>
          <w:rFonts w:cs="Arial"/>
          <w:lang w:val="fr-FR"/>
        </w:rPr>
        <w:t>EUR</w:t>
      </w:r>
      <w:r w:rsidRPr="00A86354" w:rsidR="00DA24FF">
        <w:rPr>
          <w:rFonts w:cs="Arial"/>
          <w:lang w:val="fr-FR"/>
        </w:rPr>
        <w:t xml:space="preserve"> (depuis le 1</w:t>
      </w:r>
      <w:r w:rsidRPr="00A86354" w:rsidR="00DA24FF">
        <w:rPr>
          <w:rFonts w:cs="Arial"/>
          <w:vertAlign w:val="superscript"/>
          <w:lang w:val="fr-FR"/>
        </w:rPr>
        <w:t>er</w:t>
      </w:r>
      <w:r w:rsidRPr="00A86354" w:rsidR="00DA24FF">
        <w:rPr>
          <w:rFonts w:cs="Arial"/>
          <w:lang w:val="fr-FR"/>
        </w:rPr>
        <w:t xml:space="preserve"> juillet 2022)</w:t>
      </w:r>
      <w:r w:rsidRPr="00A86354" w:rsidR="005E0B93">
        <w:rPr>
          <w:rFonts w:cs="Arial"/>
          <w:lang w:val="fr-FR"/>
        </w:rPr>
        <w:t>.</w:t>
      </w:r>
    </w:p>
    <w:p w:rsidRPr="00A86354" w:rsidR="00E15556" w:rsidP="00BA5601" w:rsidRDefault="00E15556" w14:paraId="34C339F1" w14:textId="3EE9D5E3">
      <w:pPr>
        <w:rPr>
          <w:rFonts w:ascii="Arial" w:hAnsi="Arial" w:cs="Arial"/>
          <w:lang w:val="fr-FR"/>
        </w:rPr>
      </w:pPr>
    </w:p>
    <w:p w:rsidRPr="00A86354" w:rsidR="00183B9B" w:rsidP="00CE016A" w:rsidRDefault="00183B9B" w14:paraId="5BFAB84E" w14:textId="720C9495">
      <w:pPr>
        <w:pStyle w:val="ListParagraph"/>
        <w:numPr>
          <w:ilvl w:val="0"/>
          <w:numId w:val="1"/>
        </w:numPr>
        <w:ind w:left="0" w:firstLine="0"/>
        <w:rPr>
          <w:rFonts w:cs="Arial"/>
          <w:lang w:val="fr-FR"/>
        </w:rPr>
      </w:pPr>
      <w:r w:rsidRPr="00A86354">
        <w:rPr>
          <w:rFonts w:cs="Arial"/>
          <w:lang w:val="fr-FR"/>
        </w:rPr>
        <w:t xml:space="preserve">Pour bénéficier de l'AAH, la personne concernée doit avoir un taux d'incapacité d'au moins 80 % (le taux d'incapacité mesure le niveau des conséquences des déficiences liées au handicap dans la vie quotidienne. Le taux d'incapacité est déterminé selon un guide-barème prévu par le décret 2007-1574 du 6 novembre 2007 pour l'application de la législation relative aux prestations sociales en faveur des personnes handicapées). Les ressources de la personne handicapée, ainsi que celles de son conjoint (marié, partenaire civil, concubin), ne doivent pas dépasser un certain plafond. L'AAH est régie par les articles L821-1 à 8 du code de la sécurité sociale. </w:t>
      </w:r>
    </w:p>
    <w:p w:rsidRPr="00A86354" w:rsidR="00E15556" w:rsidP="00164744" w:rsidRDefault="00E15556" w14:paraId="50E2251D" w14:textId="77777777">
      <w:pPr>
        <w:rPr>
          <w:rFonts w:ascii="Arial" w:hAnsi="Arial" w:cs="Arial"/>
          <w:lang w:val="fr-FR"/>
        </w:rPr>
      </w:pPr>
    </w:p>
    <w:p w:rsidRPr="00A86354" w:rsidR="00BA5601" w:rsidP="00A86354" w:rsidRDefault="00BA5601" w14:paraId="5AC06F03" w14:textId="77777777">
      <w:pPr>
        <w:ind w:left="709"/>
        <w:rPr>
          <w:rFonts w:ascii="Arial" w:hAnsi="Arial" w:cs="Arial"/>
          <w:b/>
          <w:bCs/>
          <w:sz w:val="20"/>
          <w:szCs w:val="20"/>
          <w:lang w:val="fr-FR"/>
        </w:rPr>
      </w:pPr>
      <w:r w:rsidRPr="00A86354">
        <w:rPr>
          <w:rFonts w:ascii="Arial" w:hAnsi="Arial" w:cs="Arial"/>
          <w:b/>
          <w:bCs/>
          <w:sz w:val="20"/>
          <w:szCs w:val="20"/>
          <w:lang w:val="fr-FR"/>
        </w:rPr>
        <w:t>Article L821-1</w:t>
      </w:r>
    </w:p>
    <w:p w:rsidRPr="00A86354" w:rsidR="00BA5601" w:rsidP="00A86354" w:rsidRDefault="00BA5601" w14:paraId="6E90517E" w14:textId="77777777">
      <w:pPr>
        <w:ind w:left="709"/>
        <w:rPr>
          <w:rFonts w:ascii="Arial" w:hAnsi="Arial" w:cs="Arial"/>
          <w:sz w:val="20"/>
          <w:szCs w:val="20"/>
          <w:lang w:val="fr-FR"/>
        </w:rPr>
      </w:pPr>
    </w:p>
    <w:p w:rsidRPr="00A86354" w:rsidR="00231821" w:rsidP="00A86354" w:rsidRDefault="00C52708" w14:paraId="53E8389A" w14:textId="158EC424">
      <w:pPr>
        <w:ind w:left="709"/>
        <w:rPr>
          <w:rFonts w:ascii="Arial" w:hAnsi="Arial" w:cs="Arial"/>
          <w:sz w:val="20"/>
          <w:szCs w:val="20"/>
          <w:lang w:val="fr-FR"/>
        </w:rPr>
      </w:pPr>
      <w:r w:rsidRPr="00A86354">
        <w:rPr>
          <w:rFonts w:ascii="Arial" w:hAnsi="Arial" w:cs="Arial"/>
          <w:sz w:val="20"/>
          <w:szCs w:val="20"/>
          <w:lang w:val="fr-FR"/>
        </w:rPr>
        <w:t>Toute personne résidant sur le territoire métropolitain ou dans les collectivités mentionnées à l</w:t>
      </w:r>
      <w:r w:rsidRPr="00A86354" w:rsidR="0006032C">
        <w:rPr>
          <w:rFonts w:ascii="Arial" w:hAnsi="Arial" w:cs="Arial"/>
          <w:sz w:val="20"/>
          <w:szCs w:val="20"/>
          <w:lang w:val="fr-FR"/>
        </w:rPr>
        <w:t>’</w:t>
      </w:r>
      <w:r w:rsidRPr="00A86354">
        <w:rPr>
          <w:rFonts w:ascii="Arial" w:hAnsi="Arial" w:cs="Arial"/>
          <w:sz w:val="20"/>
          <w:szCs w:val="20"/>
          <w:lang w:val="fr-FR"/>
        </w:rPr>
        <w:t>article L. 751-1 ou à Saint-Pierre-et-Miquelon ayant dépassé l</w:t>
      </w:r>
      <w:r w:rsidRPr="00A86354" w:rsidR="0006032C">
        <w:rPr>
          <w:rFonts w:ascii="Arial" w:hAnsi="Arial" w:cs="Arial"/>
          <w:sz w:val="20"/>
          <w:szCs w:val="20"/>
          <w:lang w:val="fr-FR"/>
        </w:rPr>
        <w:t>’</w:t>
      </w:r>
      <w:r w:rsidRPr="00A86354">
        <w:rPr>
          <w:rFonts w:ascii="Arial" w:hAnsi="Arial" w:cs="Arial"/>
          <w:sz w:val="20"/>
          <w:szCs w:val="20"/>
          <w:lang w:val="fr-FR"/>
        </w:rPr>
        <w:t>âge d</w:t>
      </w:r>
      <w:r w:rsidRPr="00A86354" w:rsidR="0006032C">
        <w:rPr>
          <w:rFonts w:ascii="Arial" w:hAnsi="Arial" w:cs="Arial"/>
          <w:sz w:val="20"/>
          <w:szCs w:val="20"/>
          <w:lang w:val="fr-FR"/>
        </w:rPr>
        <w:t>’</w:t>
      </w:r>
      <w:r w:rsidRPr="00A86354">
        <w:rPr>
          <w:rFonts w:ascii="Arial" w:hAnsi="Arial" w:cs="Arial"/>
          <w:sz w:val="20"/>
          <w:szCs w:val="20"/>
          <w:lang w:val="fr-FR"/>
        </w:rPr>
        <w:t>ouverture du droit à l</w:t>
      </w:r>
      <w:r w:rsidRPr="00A86354" w:rsidR="0006032C">
        <w:rPr>
          <w:rFonts w:ascii="Arial" w:hAnsi="Arial" w:cs="Arial"/>
          <w:sz w:val="20"/>
          <w:szCs w:val="20"/>
          <w:lang w:val="fr-FR"/>
        </w:rPr>
        <w:t>’</w:t>
      </w:r>
      <w:r w:rsidRPr="00A86354">
        <w:rPr>
          <w:rFonts w:ascii="Arial" w:hAnsi="Arial" w:cs="Arial"/>
          <w:sz w:val="20"/>
          <w:szCs w:val="20"/>
          <w:lang w:val="fr-FR"/>
        </w:rPr>
        <w:t>allocation prévue à l</w:t>
      </w:r>
      <w:r w:rsidRPr="00A86354" w:rsidR="0006032C">
        <w:rPr>
          <w:rFonts w:ascii="Arial" w:hAnsi="Arial" w:cs="Arial"/>
          <w:sz w:val="20"/>
          <w:szCs w:val="20"/>
          <w:lang w:val="fr-FR"/>
        </w:rPr>
        <w:t>’</w:t>
      </w:r>
      <w:r w:rsidRPr="00A86354">
        <w:rPr>
          <w:rFonts w:ascii="Arial" w:hAnsi="Arial" w:cs="Arial"/>
          <w:sz w:val="20"/>
          <w:szCs w:val="20"/>
          <w:lang w:val="fr-FR"/>
        </w:rPr>
        <w:t>article L. 541-1 et dont l</w:t>
      </w:r>
      <w:r w:rsidRPr="00A86354" w:rsidR="0006032C">
        <w:rPr>
          <w:rFonts w:ascii="Arial" w:hAnsi="Arial" w:cs="Arial"/>
          <w:sz w:val="20"/>
          <w:szCs w:val="20"/>
          <w:lang w:val="fr-FR"/>
        </w:rPr>
        <w:t>’</w:t>
      </w:r>
      <w:r w:rsidRPr="00A86354">
        <w:rPr>
          <w:rFonts w:ascii="Arial" w:hAnsi="Arial" w:cs="Arial"/>
          <w:sz w:val="20"/>
          <w:szCs w:val="20"/>
          <w:lang w:val="fr-FR"/>
        </w:rPr>
        <w:t>incapacité permanente est au moins égale à un pourcentage fixé par décret perçoit, dans les conditions prévues au présent titre, une allocation aux adultes handicapés.</w:t>
      </w:r>
    </w:p>
    <w:p w:rsidRPr="00A86354" w:rsidR="00231821" w:rsidP="00A86354" w:rsidRDefault="00231821" w14:paraId="69090B0F" w14:textId="1AFA1F8F">
      <w:pPr>
        <w:ind w:left="709"/>
        <w:rPr>
          <w:rFonts w:ascii="Arial" w:hAnsi="Arial" w:cs="Arial"/>
          <w:sz w:val="20"/>
          <w:szCs w:val="20"/>
          <w:lang w:val="fr-FR"/>
        </w:rPr>
      </w:pPr>
    </w:p>
    <w:p w:rsidRPr="00A86354" w:rsidR="00231821" w:rsidP="00A86354" w:rsidRDefault="002C5D46" w14:paraId="08997404" w14:textId="3CEE8E09">
      <w:pPr>
        <w:ind w:left="709"/>
        <w:rPr>
          <w:rFonts w:ascii="Arial" w:hAnsi="Arial" w:cs="Arial"/>
          <w:sz w:val="20"/>
          <w:szCs w:val="20"/>
          <w:lang w:val="fr-FR"/>
        </w:rPr>
      </w:pPr>
      <w:r w:rsidRPr="00A86354">
        <w:rPr>
          <w:rFonts w:ascii="Arial" w:hAnsi="Arial" w:cs="Arial"/>
          <w:sz w:val="20"/>
          <w:szCs w:val="20"/>
          <w:lang w:val="fr-FR"/>
        </w:rPr>
        <w:t>[...]</w:t>
      </w:r>
    </w:p>
    <w:p w:rsidRPr="00A86354" w:rsidR="00231821" w:rsidP="00A86354" w:rsidRDefault="00231821" w14:paraId="2521B893" w14:textId="19B2B7F8">
      <w:pPr>
        <w:ind w:left="709"/>
        <w:rPr>
          <w:rFonts w:ascii="Arial" w:hAnsi="Arial" w:cs="Arial"/>
          <w:sz w:val="20"/>
          <w:szCs w:val="20"/>
          <w:lang w:val="fr-FR"/>
        </w:rPr>
      </w:pPr>
    </w:p>
    <w:p w:rsidRPr="00A86354" w:rsidR="00BA5601" w:rsidP="00A86354" w:rsidRDefault="00624C66" w14:paraId="52DD66DA" w14:textId="0FB334D2">
      <w:pPr>
        <w:ind w:left="709"/>
        <w:rPr>
          <w:rFonts w:ascii="Arial" w:hAnsi="Arial" w:cs="Arial"/>
          <w:b/>
          <w:bCs/>
          <w:sz w:val="20"/>
          <w:szCs w:val="20"/>
          <w:lang w:val="fr-FR"/>
        </w:rPr>
      </w:pPr>
      <w:r w:rsidRPr="00A86354">
        <w:rPr>
          <w:rFonts w:ascii="Arial" w:hAnsi="Arial" w:cs="Arial"/>
          <w:b/>
          <w:bCs/>
          <w:sz w:val="20"/>
          <w:szCs w:val="20"/>
          <w:lang w:val="fr-FR"/>
        </w:rPr>
        <w:br w:type="column"/>
      </w:r>
      <w:r w:rsidRPr="00A86354" w:rsidR="00BA5601">
        <w:rPr>
          <w:rFonts w:ascii="Arial" w:hAnsi="Arial" w:cs="Arial"/>
          <w:b/>
          <w:bCs/>
          <w:sz w:val="20"/>
          <w:szCs w:val="20"/>
          <w:lang w:val="fr-FR"/>
        </w:rPr>
        <w:lastRenderedPageBreak/>
        <w:t>Article L821-3</w:t>
      </w:r>
    </w:p>
    <w:p w:rsidRPr="00A86354" w:rsidR="00BA5601" w:rsidP="00A86354" w:rsidRDefault="00BA5601" w14:paraId="536D12F1" w14:textId="77777777">
      <w:pPr>
        <w:ind w:left="709"/>
        <w:rPr>
          <w:rFonts w:ascii="Arial" w:hAnsi="Arial" w:cs="Arial"/>
          <w:sz w:val="20"/>
          <w:szCs w:val="20"/>
          <w:lang w:val="fr-FR"/>
        </w:rPr>
      </w:pPr>
    </w:p>
    <w:p w:rsidRPr="00A86354" w:rsidR="00231821" w:rsidP="00A86354" w:rsidRDefault="00C52708" w14:paraId="78487364" w14:textId="5D69507A">
      <w:pPr>
        <w:ind w:left="709"/>
        <w:rPr>
          <w:rFonts w:ascii="Arial" w:hAnsi="Arial" w:cs="Arial"/>
          <w:sz w:val="20"/>
          <w:szCs w:val="20"/>
          <w:lang w:val="fr-FR"/>
        </w:rPr>
      </w:pPr>
      <w:r w:rsidRPr="00A86354">
        <w:rPr>
          <w:rFonts w:ascii="Arial" w:hAnsi="Arial" w:cs="Arial"/>
          <w:sz w:val="20"/>
          <w:szCs w:val="20"/>
          <w:lang w:val="fr-FR"/>
        </w:rPr>
        <w:t>L</w:t>
      </w:r>
      <w:r w:rsidRPr="00A86354" w:rsidR="0006032C">
        <w:rPr>
          <w:rFonts w:ascii="Arial" w:hAnsi="Arial" w:cs="Arial"/>
          <w:sz w:val="20"/>
          <w:szCs w:val="20"/>
          <w:lang w:val="fr-FR"/>
        </w:rPr>
        <w:t>’</w:t>
      </w:r>
      <w:r w:rsidRPr="00A86354">
        <w:rPr>
          <w:rFonts w:ascii="Arial" w:hAnsi="Arial" w:cs="Arial"/>
          <w:sz w:val="20"/>
          <w:szCs w:val="20"/>
          <w:lang w:val="fr-FR"/>
        </w:rPr>
        <w:t>allocation aux adultes handicapés peut se cumuler avec les ressources personnelles de l</w:t>
      </w:r>
      <w:r w:rsidRPr="00A86354" w:rsidR="0006032C">
        <w:rPr>
          <w:rFonts w:ascii="Arial" w:hAnsi="Arial" w:cs="Arial"/>
          <w:sz w:val="20"/>
          <w:szCs w:val="20"/>
          <w:lang w:val="fr-FR"/>
        </w:rPr>
        <w:t>’</w:t>
      </w:r>
      <w:r w:rsidRPr="00A86354">
        <w:rPr>
          <w:rFonts w:ascii="Arial" w:hAnsi="Arial" w:cs="Arial"/>
          <w:sz w:val="20"/>
          <w:szCs w:val="20"/>
          <w:lang w:val="fr-FR"/>
        </w:rPr>
        <w:t>intéressé et, s</w:t>
      </w:r>
      <w:r w:rsidRPr="00A86354" w:rsidR="0006032C">
        <w:rPr>
          <w:rFonts w:ascii="Arial" w:hAnsi="Arial" w:cs="Arial"/>
          <w:sz w:val="20"/>
          <w:szCs w:val="20"/>
          <w:lang w:val="fr-FR"/>
        </w:rPr>
        <w:t>’</w:t>
      </w:r>
      <w:r w:rsidRPr="00A86354">
        <w:rPr>
          <w:rFonts w:ascii="Arial" w:hAnsi="Arial" w:cs="Arial"/>
          <w:sz w:val="20"/>
          <w:szCs w:val="20"/>
          <w:lang w:val="fr-FR"/>
        </w:rPr>
        <w:t>il y a lieu, de son conjoint, concubin ou partenaire d</w:t>
      </w:r>
      <w:r w:rsidRPr="00A86354" w:rsidR="0006032C">
        <w:rPr>
          <w:rFonts w:ascii="Arial" w:hAnsi="Arial" w:cs="Arial"/>
          <w:sz w:val="20"/>
          <w:szCs w:val="20"/>
          <w:lang w:val="fr-FR"/>
        </w:rPr>
        <w:t>’</w:t>
      </w:r>
      <w:r w:rsidRPr="00A86354">
        <w:rPr>
          <w:rFonts w:ascii="Arial" w:hAnsi="Arial" w:cs="Arial"/>
          <w:sz w:val="20"/>
          <w:szCs w:val="20"/>
          <w:lang w:val="fr-FR"/>
        </w:rPr>
        <w:t>un pacte civil de solidarité dans la limite d</w:t>
      </w:r>
      <w:r w:rsidRPr="00A86354" w:rsidR="0006032C">
        <w:rPr>
          <w:rFonts w:ascii="Arial" w:hAnsi="Arial" w:cs="Arial"/>
          <w:sz w:val="20"/>
          <w:szCs w:val="20"/>
          <w:lang w:val="fr-FR"/>
        </w:rPr>
        <w:t>’</w:t>
      </w:r>
      <w:r w:rsidRPr="00A86354">
        <w:rPr>
          <w:rFonts w:ascii="Arial" w:hAnsi="Arial" w:cs="Arial"/>
          <w:sz w:val="20"/>
          <w:szCs w:val="20"/>
          <w:lang w:val="fr-FR"/>
        </w:rPr>
        <w:t>un plafond fixé par décret, qui varie selon qu</w:t>
      </w:r>
      <w:r w:rsidRPr="00A86354" w:rsidR="0006032C">
        <w:rPr>
          <w:rFonts w:ascii="Arial" w:hAnsi="Arial" w:cs="Arial"/>
          <w:sz w:val="20"/>
          <w:szCs w:val="20"/>
          <w:lang w:val="fr-FR"/>
        </w:rPr>
        <w:t>’</w:t>
      </w:r>
      <w:r w:rsidRPr="00A86354">
        <w:rPr>
          <w:rFonts w:ascii="Arial" w:hAnsi="Arial" w:cs="Arial"/>
          <w:sz w:val="20"/>
          <w:szCs w:val="20"/>
          <w:lang w:val="fr-FR"/>
        </w:rPr>
        <w:t>il est marié, concubin ou partenaire d</w:t>
      </w:r>
      <w:r w:rsidRPr="00A86354" w:rsidR="0006032C">
        <w:rPr>
          <w:rFonts w:ascii="Arial" w:hAnsi="Arial" w:cs="Arial"/>
          <w:sz w:val="20"/>
          <w:szCs w:val="20"/>
          <w:lang w:val="fr-FR"/>
        </w:rPr>
        <w:t>’</w:t>
      </w:r>
      <w:r w:rsidRPr="00A86354">
        <w:rPr>
          <w:rFonts w:ascii="Arial" w:hAnsi="Arial" w:cs="Arial"/>
          <w:sz w:val="20"/>
          <w:szCs w:val="20"/>
          <w:lang w:val="fr-FR"/>
        </w:rPr>
        <w:t>un pacte civil de solidarité et a une ou plusieurs personnes à sa charge. Les revenus perçus par le conjoint, le concubin ou le partenaire lié par un pacte civil de solidarité qui ne bénéficie pas de l</w:t>
      </w:r>
      <w:r w:rsidRPr="00A86354" w:rsidR="0006032C">
        <w:rPr>
          <w:rFonts w:ascii="Arial" w:hAnsi="Arial" w:cs="Arial"/>
          <w:sz w:val="20"/>
          <w:szCs w:val="20"/>
          <w:lang w:val="fr-FR"/>
        </w:rPr>
        <w:t>’</w:t>
      </w:r>
      <w:r w:rsidRPr="00A86354">
        <w:rPr>
          <w:rFonts w:ascii="Arial" w:hAnsi="Arial" w:cs="Arial"/>
          <w:sz w:val="20"/>
          <w:szCs w:val="20"/>
          <w:lang w:val="fr-FR"/>
        </w:rPr>
        <w:t>allocation aux adultes handicapés font l</w:t>
      </w:r>
      <w:r w:rsidRPr="00A86354" w:rsidR="0006032C">
        <w:rPr>
          <w:rFonts w:ascii="Arial" w:hAnsi="Arial" w:cs="Arial"/>
          <w:sz w:val="20"/>
          <w:szCs w:val="20"/>
          <w:lang w:val="fr-FR"/>
        </w:rPr>
        <w:t>’</w:t>
      </w:r>
      <w:r w:rsidRPr="00A86354">
        <w:rPr>
          <w:rFonts w:ascii="Arial" w:hAnsi="Arial" w:cs="Arial"/>
          <w:sz w:val="20"/>
          <w:szCs w:val="20"/>
          <w:lang w:val="fr-FR"/>
        </w:rPr>
        <w:t>objet d</w:t>
      </w:r>
      <w:r w:rsidRPr="00A86354" w:rsidR="0006032C">
        <w:rPr>
          <w:rFonts w:ascii="Arial" w:hAnsi="Arial" w:cs="Arial"/>
          <w:sz w:val="20"/>
          <w:szCs w:val="20"/>
          <w:lang w:val="fr-FR"/>
        </w:rPr>
        <w:t>’</w:t>
      </w:r>
      <w:r w:rsidRPr="00A86354">
        <w:rPr>
          <w:rFonts w:ascii="Arial" w:hAnsi="Arial" w:cs="Arial"/>
          <w:sz w:val="20"/>
          <w:szCs w:val="20"/>
          <w:lang w:val="fr-FR"/>
        </w:rPr>
        <w:t>un abattement forfaitaire dont les modalités sont fixées par décret.</w:t>
      </w:r>
    </w:p>
    <w:p w:rsidRPr="00A86354" w:rsidR="00C52708" w:rsidP="00A86354" w:rsidRDefault="00C52708" w14:paraId="48873954" w14:textId="77777777">
      <w:pPr>
        <w:ind w:left="709"/>
        <w:rPr>
          <w:rFonts w:ascii="Arial" w:hAnsi="Arial" w:cs="Arial"/>
          <w:sz w:val="20"/>
          <w:szCs w:val="20"/>
          <w:lang w:val="fr-FR"/>
        </w:rPr>
      </w:pPr>
    </w:p>
    <w:p w:rsidRPr="00A86354" w:rsidR="00231821" w:rsidP="00A86354" w:rsidRDefault="002C5D46" w14:paraId="556BF65D" w14:textId="7211B2CD">
      <w:pPr>
        <w:ind w:left="709"/>
        <w:rPr>
          <w:rFonts w:ascii="Arial" w:hAnsi="Arial" w:cs="Arial"/>
          <w:sz w:val="20"/>
          <w:szCs w:val="20"/>
          <w:lang w:val="fr-FR"/>
        </w:rPr>
      </w:pPr>
      <w:r w:rsidRPr="00A86354">
        <w:rPr>
          <w:rFonts w:ascii="Arial" w:hAnsi="Arial" w:cs="Arial"/>
          <w:sz w:val="20"/>
          <w:szCs w:val="20"/>
          <w:lang w:val="fr-FR"/>
        </w:rPr>
        <w:t>[...]</w:t>
      </w:r>
    </w:p>
    <w:p w:rsidRPr="00A86354" w:rsidR="00BA5601" w:rsidP="00A86354" w:rsidRDefault="00BA5601" w14:paraId="198EC9A8" w14:textId="15DAE7D5">
      <w:pPr>
        <w:ind w:left="709"/>
        <w:rPr>
          <w:rFonts w:ascii="Arial" w:hAnsi="Arial" w:cs="Arial"/>
          <w:sz w:val="20"/>
          <w:szCs w:val="20"/>
          <w:lang w:val="fr-FR"/>
        </w:rPr>
      </w:pPr>
    </w:p>
    <w:p w:rsidRPr="00A86354" w:rsidR="00BA5601" w:rsidP="00A86354" w:rsidRDefault="00BA5601" w14:paraId="3549E4E6" w14:textId="77777777">
      <w:pPr>
        <w:ind w:left="709"/>
        <w:rPr>
          <w:rFonts w:ascii="Arial" w:hAnsi="Arial" w:cs="Arial"/>
          <w:b/>
          <w:bCs/>
          <w:sz w:val="20"/>
          <w:szCs w:val="20"/>
          <w:lang w:val="fr-FR"/>
        </w:rPr>
      </w:pPr>
      <w:r w:rsidRPr="00A86354">
        <w:rPr>
          <w:rFonts w:ascii="Arial" w:hAnsi="Arial" w:cs="Arial"/>
          <w:b/>
          <w:bCs/>
          <w:sz w:val="20"/>
          <w:szCs w:val="20"/>
          <w:lang w:val="fr-FR"/>
        </w:rPr>
        <w:t>Article L821-4</w:t>
      </w:r>
    </w:p>
    <w:p w:rsidRPr="00A86354" w:rsidR="00BA5601" w:rsidP="00A86354" w:rsidRDefault="00BA5601" w14:paraId="6EDF2C0F" w14:textId="577A4A84">
      <w:pPr>
        <w:ind w:left="709"/>
        <w:rPr>
          <w:rFonts w:ascii="Arial" w:hAnsi="Arial" w:cs="Arial"/>
          <w:sz w:val="20"/>
          <w:szCs w:val="20"/>
          <w:lang w:val="fr-FR"/>
        </w:rPr>
      </w:pPr>
    </w:p>
    <w:p w:rsidRPr="00A86354" w:rsidR="00BA5601" w:rsidP="00A86354" w:rsidRDefault="00C52708" w14:paraId="09FC99E5" w14:textId="25446BA5">
      <w:pPr>
        <w:ind w:left="709"/>
        <w:rPr>
          <w:rFonts w:ascii="Arial" w:hAnsi="Arial" w:cs="Arial"/>
          <w:sz w:val="20"/>
          <w:szCs w:val="20"/>
          <w:lang w:val="fr-FR"/>
        </w:rPr>
      </w:pPr>
      <w:r w:rsidRPr="00A86354">
        <w:rPr>
          <w:rFonts w:ascii="Arial" w:hAnsi="Arial" w:cs="Arial"/>
          <w:sz w:val="20"/>
          <w:szCs w:val="20"/>
          <w:lang w:val="fr-FR"/>
        </w:rPr>
        <w:t>L</w:t>
      </w:r>
      <w:r w:rsidRPr="00A86354" w:rsidR="0006032C">
        <w:rPr>
          <w:rFonts w:ascii="Arial" w:hAnsi="Arial" w:cs="Arial"/>
          <w:sz w:val="20"/>
          <w:szCs w:val="20"/>
          <w:lang w:val="fr-FR"/>
        </w:rPr>
        <w:t>’</w:t>
      </w:r>
      <w:r w:rsidRPr="00A86354">
        <w:rPr>
          <w:rFonts w:ascii="Arial" w:hAnsi="Arial" w:cs="Arial"/>
          <w:sz w:val="20"/>
          <w:szCs w:val="20"/>
          <w:lang w:val="fr-FR"/>
        </w:rPr>
        <w:t>allocation aux adultes handicapés est accordée, pour une durée déterminée par décret en Conseil d</w:t>
      </w:r>
      <w:r w:rsidRPr="00A86354" w:rsidR="0006032C">
        <w:rPr>
          <w:rFonts w:ascii="Arial" w:hAnsi="Arial" w:cs="Arial"/>
          <w:sz w:val="20"/>
          <w:szCs w:val="20"/>
          <w:lang w:val="fr-FR"/>
        </w:rPr>
        <w:t>’</w:t>
      </w:r>
      <w:r w:rsidRPr="00A86354">
        <w:rPr>
          <w:rFonts w:ascii="Arial" w:hAnsi="Arial" w:cs="Arial"/>
          <w:sz w:val="20"/>
          <w:szCs w:val="20"/>
          <w:lang w:val="fr-FR"/>
        </w:rPr>
        <w:t>Etat, sur décision de la commission mentionnée à l</w:t>
      </w:r>
      <w:r w:rsidRPr="00A86354" w:rsidR="0006032C">
        <w:rPr>
          <w:rFonts w:ascii="Arial" w:hAnsi="Arial" w:cs="Arial"/>
          <w:sz w:val="20"/>
          <w:szCs w:val="20"/>
          <w:lang w:val="fr-FR"/>
        </w:rPr>
        <w:t>’</w:t>
      </w:r>
      <w:r w:rsidRPr="00A86354">
        <w:rPr>
          <w:rFonts w:ascii="Arial" w:hAnsi="Arial" w:cs="Arial"/>
          <w:sz w:val="20"/>
          <w:szCs w:val="20"/>
          <w:lang w:val="fr-FR"/>
        </w:rPr>
        <w:t>article L. 146-9 du code de l</w:t>
      </w:r>
      <w:r w:rsidRPr="00A86354" w:rsidR="0006032C">
        <w:rPr>
          <w:rFonts w:ascii="Arial" w:hAnsi="Arial" w:cs="Arial"/>
          <w:sz w:val="20"/>
          <w:szCs w:val="20"/>
          <w:lang w:val="fr-FR"/>
        </w:rPr>
        <w:t>’</w:t>
      </w:r>
      <w:r w:rsidRPr="00A86354">
        <w:rPr>
          <w:rFonts w:ascii="Arial" w:hAnsi="Arial" w:cs="Arial"/>
          <w:sz w:val="20"/>
          <w:szCs w:val="20"/>
          <w:lang w:val="fr-FR"/>
        </w:rPr>
        <w:t>action sociale et des familles appréciant le niveau d</w:t>
      </w:r>
      <w:r w:rsidRPr="00A86354" w:rsidR="0006032C">
        <w:rPr>
          <w:rFonts w:ascii="Arial" w:hAnsi="Arial" w:cs="Arial"/>
          <w:sz w:val="20"/>
          <w:szCs w:val="20"/>
          <w:lang w:val="fr-FR"/>
        </w:rPr>
        <w:t>’</w:t>
      </w:r>
      <w:r w:rsidRPr="00A86354">
        <w:rPr>
          <w:rFonts w:ascii="Arial" w:hAnsi="Arial" w:cs="Arial"/>
          <w:sz w:val="20"/>
          <w:szCs w:val="20"/>
          <w:lang w:val="fr-FR"/>
        </w:rPr>
        <w:t>incapacité de la personne handicapée ainsi que, pour les personnes mentionnées à l</w:t>
      </w:r>
      <w:r w:rsidRPr="00A86354" w:rsidR="0006032C">
        <w:rPr>
          <w:rFonts w:ascii="Arial" w:hAnsi="Arial" w:cs="Arial"/>
          <w:sz w:val="20"/>
          <w:szCs w:val="20"/>
          <w:lang w:val="fr-FR"/>
        </w:rPr>
        <w:t>’</w:t>
      </w:r>
      <w:r w:rsidRPr="00A86354">
        <w:rPr>
          <w:rFonts w:ascii="Arial" w:hAnsi="Arial" w:cs="Arial"/>
          <w:sz w:val="20"/>
          <w:szCs w:val="20"/>
          <w:lang w:val="fr-FR"/>
        </w:rPr>
        <w:t>article L. 821-2 du présent code, leur impossibilité, compte tenu de leur handicap, de se procurer un emploi.</w:t>
      </w:r>
    </w:p>
    <w:p w:rsidRPr="00A86354" w:rsidR="00231821" w:rsidP="00A86354" w:rsidRDefault="00231821" w14:paraId="3F3489FE" w14:textId="1D241654">
      <w:pPr>
        <w:ind w:left="709"/>
        <w:rPr>
          <w:rFonts w:ascii="Arial" w:hAnsi="Arial" w:cs="Arial"/>
          <w:sz w:val="20"/>
          <w:szCs w:val="20"/>
          <w:lang w:val="fr-FR"/>
        </w:rPr>
      </w:pPr>
    </w:p>
    <w:p w:rsidRPr="00A86354" w:rsidR="00BA5601" w:rsidP="00A86354" w:rsidRDefault="002C5D46" w14:paraId="0C794BE4" w14:textId="6165E988">
      <w:pPr>
        <w:ind w:left="709"/>
        <w:rPr>
          <w:rFonts w:ascii="Arial" w:hAnsi="Arial" w:cs="Arial"/>
          <w:sz w:val="20"/>
          <w:szCs w:val="20"/>
          <w:lang w:val="fr-FR"/>
        </w:rPr>
      </w:pPr>
      <w:r w:rsidRPr="00A86354">
        <w:rPr>
          <w:rFonts w:ascii="Arial" w:hAnsi="Arial" w:cs="Arial"/>
          <w:sz w:val="20"/>
          <w:szCs w:val="20"/>
          <w:lang w:val="fr-FR"/>
        </w:rPr>
        <w:t>[...]</w:t>
      </w:r>
    </w:p>
    <w:p w:rsidRPr="00A86354" w:rsidR="00BA5601" w:rsidP="00A86354" w:rsidRDefault="00BA5601" w14:paraId="3E041B9E" w14:textId="3EA45E1B">
      <w:pPr>
        <w:ind w:left="709"/>
        <w:rPr>
          <w:rFonts w:ascii="Arial" w:hAnsi="Arial" w:cs="Arial"/>
          <w:sz w:val="20"/>
          <w:szCs w:val="20"/>
          <w:lang w:val="fr-FR"/>
        </w:rPr>
      </w:pPr>
    </w:p>
    <w:p w:rsidRPr="00A86354" w:rsidR="00BA5601" w:rsidP="00A86354" w:rsidRDefault="00BA5601" w14:paraId="3207BBF2" w14:textId="77777777">
      <w:pPr>
        <w:ind w:left="709"/>
        <w:rPr>
          <w:rFonts w:ascii="Arial" w:hAnsi="Arial" w:cs="Arial"/>
          <w:b/>
          <w:bCs/>
          <w:sz w:val="20"/>
          <w:szCs w:val="20"/>
          <w:lang w:val="fr-FR"/>
        </w:rPr>
      </w:pPr>
      <w:r w:rsidRPr="00A86354">
        <w:rPr>
          <w:rFonts w:ascii="Arial" w:hAnsi="Arial" w:cs="Arial"/>
          <w:b/>
          <w:bCs/>
          <w:sz w:val="20"/>
          <w:szCs w:val="20"/>
          <w:lang w:val="fr-FR"/>
        </w:rPr>
        <w:t>Article L821-6</w:t>
      </w:r>
    </w:p>
    <w:p w:rsidRPr="00A86354" w:rsidR="00BA5601" w:rsidP="00A86354" w:rsidRDefault="00BA5601" w14:paraId="28414314" w14:textId="77777777">
      <w:pPr>
        <w:ind w:left="709"/>
        <w:rPr>
          <w:rFonts w:ascii="Arial" w:hAnsi="Arial" w:cs="Arial"/>
          <w:sz w:val="20"/>
          <w:szCs w:val="20"/>
          <w:lang w:val="fr-FR"/>
        </w:rPr>
      </w:pPr>
    </w:p>
    <w:p w:rsidRPr="00A86354" w:rsidR="00BA5601" w:rsidP="00A86354" w:rsidRDefault="00C52708" w14:paraId="42BB0641" w14:textId="65B03920">
      <w:pPr>
        <w:ind w:left="709"/>
        <w:rPr>
          <w:rFonts w:ascii="Arial" w:hAnsi="Arial" w:cs="Arial"/>
          <w:sz w:val="20"/>
          <w:szCs w:val="20"/>
          <w:lang w:val="fr-FR"/>
        </w:rPr>
      </w:pPr>
      <w:r w:rsidRPr="00A86354">
        <w:rPr>
          <w:rFonts w:ascii="Arial" w:hAnsi="Arial" w:cs="Arial"/>
          <w:sz w:val="20"/>
          <w:szCs w:val="20"/>
          <w:lang w:val="fr-FR"/>
        </w:rPr>
        <w:t>Un décret en Conseil d</w:t>
      </w:r>
      <w:r w:rsidRPr="00A86354" w:rsidR="0006032C">
        <w:rPr>
          <w:rFonts w:ascii="Arial" w:hAnsi="Arial" w:cs="Arial"/>
          <w:sz w:val="20"/>
          <w:szCs w:val="20"/>
          <w:lang w:val="fr-FR"/>
        </w:rPr>
        <w:t>’</w:t>
      </w:r>
      <w:r w:rsidRPr="00A86354">
        <w:rPr>
          <w:rFonts w:ascii="Arial" w:hAnsi="Arial" w:cs="Arial"/>
          <w:sz w:val="20"/>
          <w:szCs w:val="20"/>
          <w:lang w:val="fr-FR"/>
        </w:rPr>
        <w:t>Etat précise les conditions dans lesquelles le droit à l</w:t>
      </w:r>
      <w:r w:rsidRPr="00A86354" w:rsidR="0006032C">
        <w:rPr>
          <w:rFonts w:ascii="Arial" w:hAnsi="Arial" w:cs="Arial"/>
          <w:sz w:val="20"/>
          <w:szCs w:val="20"/>
          <w:lang w:val="fr-FR"/>
        </w:rPr>
        <w:t>’</w:t>
      </w:r>
      <w:r w:rsidRPr="00A86354">
        <w:rPr>
          <w:rFonts w:ascii="Arial" w:hAnsi="Arial" w:cs="Arial"/>
          <w:sz w:val="20"/>
          <w:szCs w:val="20"/>
          <w:lang w:val="fr-FR"/>
        </w:rPr>
        <w:t>allocation aux adultes handicapés mentionnée à l</w:t>
      </w:r>
      <w:r w:rsidRPr="00A86354" w:rsidR="0006032C">
        <w:rPr>
          <w:rFonts w:ascii="Arial" w:hAnsi="Arial" w:cs="Arial"/>
          <w:sz w:val="20"/>
          <w:szCs w:val="20"/>
          <w:lang w:val="fr-FR"/>
        </w:rPr>
        <w:t>’</w:t>
      </w:r>
      <w:r w:rsidRPr="00A86354">
        <w:rPr>
          <w:rFonts w:ascii="Arial" w:hAnsi="Arial" w:cs="Arial"/>
          <w:sz w:val="20"/>
          <w:szCs w:val="20"/>
          <w:lang w:val="fr-FR"/>
        </w:rPr>
        <w:t>article L. 821-1 ci-dessus est ouvert aux personnes handicapées hébergées dans un établissement social ou médico-social ou hospitalisées dans un établissement de santé, ou détenues dans un établissement relevant de l</w:t>
      </w:r>
      <w:r w:rsidRPr="00A86354" w:rsidR="0006032C">
        <w:rPr>
          <w:rFonts w:ascii="Arial" w:hAnsi="Arial" w:cs="Arial"/>
          <w:sz w:val="20"/>
          <w:szCs w:val="20"/>
          <w:lang w:val="fr-FR"/>
        </w:rPr>
        <w:t>’</w:t>
      </w:r>
      <w:r w:rsidRPr="00A86354">
        <w:rPr>
          <w:rFonts w:ascii="Arial" w:hAnsi="Arial" w:cs="Arial"/>
          <w:sz w:val="20"/>
          <w:szCs w:val="20"/>
          <w:lang w:val="fr-FR"/>
        </w:rPr>
        <w:t>administration pénitentiaire. Ce décret détermine également dans quelles conditions le paiement de ladite allocation peut être réduit en cas d</w:t>
      </w:r>
      <w:r w:rsidRPr="00A86354" w:rsidR="0006032C">
        <w:rPr>
          <w:rFonts w:ascii="Arial" w:hAnsi="Arial" w:cs="Arial"/>
          <w:sz w:val="20"/>
          <w:szCs w:val="20"/>
          <w:lang w:val="fr-FR"/>
        </w:rPr>
        <w:t>’</w:t>
      </w:r>
      <w:r w:rsidRPr="00A86354">
        <w:rPr>
          <w:rFonts w:ascii="Arial" w:hAnsi="Arial" w:cs="Arial"/>
          <w:sz w:val="20"/>
          <w:szCs w:val="20"/>
          <w:lang w:val="fr-FR"/>
        </w:rPr>
        <w:t>hospitalisation d</w:t>
      </w:r>
      <w:r w:rsidRPr="00A86354" w:rsidR="0006032C">
        <w:rPr>
          <w:rFonts w:ascii="Arial" w:hAnsi="Arial" w:cs="Arial"/>
          <w:sz w:val="20"/>
          <w:szCs w:val="20"/>
          <w:lang w:val="fr-FR"/>
        </w:rPr>
        <w:t>’</w:t>
      </w:r>
      <w:r w:rsidRPr="00A86354">
        <w:rPr>
          <w:rFonts w:ascii="Arial" w:hAnsi="Arial" w:cs="Arial"/>
          <w:sz w:val="20"/>
          <w:szCs w:val="20"/>
          <w:lang w:val="fr-FR"/>
        </w:rPr>
        <w:t>hébergement ou d</w:t>
      </w:r>
      <w:r w:rsidRPr="00A86354" w:rsidR="0006032C">
        <w:rPr>
          <w:rFonts w:ascii="Arial" w:hAnsi="Arial" w:cs="Arial"/>
          <w:sz w:val="20"/>
          <w:szCs w:val="20"/>
          <w:lang w:val="fr-FR"/>
        </w:rPr>
        <w:t>’</w:t>
      </w:r>
      <w:r w:rsidRPr="00A86354">
        <w:rPr>
          <w:rFonts w:ascii="Arial" w:hAnsi="Arial" w:cs="Arial"/>
          <w:sz w:val="20"/>
          <w:szCs w:val="20"/>
          <w:lang w:val="fr-FR"/>
        </w:rPr>
        <w:t>incarcération.</w:t>
      </w:r>
    </w:p>
    <w:p w:rsidRPr="00A86354" w:rsidR="00BA5601" w:rsidP="00A86354" w:rsidRDefault="00BA5601" w14:paraId="3D567815" w14:textId="77777777">
      <w:pPr>
        <w:ind w:left="709"/>
        <w:rPr>
          <w:rFonts w:ascii="Arial" w:hAnsi="Arial" w:cs="Arial"/>
          <w:sz w:val="20"/>
          <w:szCs w:val="20"/>
          <w:lang w:val="fr-FR"/>
        </w:rPr>
      </w:pPr>
    </w:p>
    <w:p w:rsidRPr="00A86354" w:rsidR="00231821" w:rsidP="00A86354" w:rsidRDefault="002C5D46" w14:paraId="2DB905CD" w14:textId="75FB9421">
      <w:pPr>
        <w:ind w:left="709"/>
        <w:rPr>
          <w:rFonts w:ascii="Arial" w:hAnsi="Arial" w:cs="Arial"/>
          <w:sz w:val="20"/>
          <w:szCs w:val="20"/>
          <w:lang w:val="fr-FR"/>
        </w:rPr>
      </w:pPr>
      <w:r w:rsidRPr="00A86354">
        <w:rPr>
          <w:rFonts w:ascii="Arial" w:hAnsi="Arial" w:cs="Arial"/>
          <w:sz w:val="20"/>
          <w:szCs w:val="20"/>
          <w:lang w:val="fr-FR"/>
        </w:rPr>
        <w:t>[...]</w:t>
      </w:r>
      <w:r w:rsidRPr="00A86354" w:rsidR="00BA5601">
        <w:rPr>
          <w:rFonts w:ascii="Arial" w:hAnsi="Arial" w:cs="Arial"/>
          <w:sz w:val="20"/>
          <w:szCs w:val="20"/>
          <w:lang w:val="fr-FR"/>
        </w:rPr>
        <w:t xml:space="preserve"> </w:t>
      </w:r>
    </w:p>
    <w:p w:rsidRPr="00A86354" w:rsidR="00BA5601" w:rsidP="00164744" w:rsidRDefault="00BA5601" w14:paraId="42199B12" w14:textId="5135A13E">
      <w:pPr>
        <w:rPr>
          <w:rFonts w:ascii="Arial" w:hAnsi="Arial" w:cs="Arial"/>
          <w:lang w:val="fr-FR"/>
        </w:rPr>
      </w:pPr>
    </w:p>
    <w:p w:rsidRPr="00A86354" w:rsidR="00223BFB" w:rsidP="00164744" w:rsidRDefault="00C52708" w14:paraId="1177B4C6" w14:textId="7E33F2A9">
      <w:pPr>
        <w:rPr>
          <w:rFonts w:ascii="Arial" w:hAnsi="Arial" w:cs="Arial"/>
          <w:b/>
          <w:bCs/>
          <w:lang w:val="fr-FR"/>
        </w:rPr>
      </w:pPr>
      <w:r w:rsidRPr="00A86354">
        <w:rPr>
          <w:rFonts w:ascii="Arial" w:hAnsi="Arial" w:cs="Arial"/>
          <w:b/>
          <w:bCs/>
          <w:lang w:val="fr-FR"/>
        </w:rPr>
        <w:t>Accessibilité</w:t>
      </w:r>
      <w:r w:rsidRPr="00A86354" w:rsidR="00223BFB">
        <w:rPr>
          <w:rFonts w:ascii="Arial" w:hAnsi="Arial" w:cs="Arial"/>
          <w:b/>
          <w:bCs/>
          <w:lang w:val="fr-FR"/>
        </w:rPr>
        <w:t xml:space="preserve"> </w:t>
      </w:r>
      <w:r w:rsidRPr="00A86354">
        <w:rPr>
          <w:rFonts w:ascii="Arial" w:hAnsi="Arial" w:cs="Arial"/>
          <w:b/>
          <w:bCs/>
          <w:lang w:val="fr-FR"/>
        </w:rPr>
        <w:t>des locaux et installations</w:t>
      </w:r>
      <w:r w:rsidRPr="00A86354" w:rsidR="00223BFB">
        <w:rPr>
          <w:rFonts w:ascii="Arial" w:hAnsi="Arial" w:cs="Arial"/>
          <w:b/>
          <w:bCs/>
          <w:lang w:val="fr-FR"/>
        </w:rPr>
        <w:t xml:space="preserve"> </w:t>
      </w:r>
    </w:p>
    <w:p w:rsidRPr="00A86354" w:rsidR="00223BFB" w:rsidP="00164744" w:rsidRDefault="00223BFB" w14:paraId="25840994" w14:textId="55702EEF">
      <w:pPr>
        <w:rPr>
          <w:rFonts w:ascii="Arial" w:hAnsi="Arial" w:cs="Arial"/>
          <w:lang w:val="fr-FR"/>
        </w:rPr>
      </w:pPr>
    </w:p>
    <w:p w:rsidRPr="00A86354" w:rsidR="006E3F1C" w:rsidP="00CE016A" w:rsidRDefault="00C52708" w14:paraId="3351EB9F" w14:textId="07C816CD">
      <w:pPr>
        <w:pStyle w:val="ListParagraph"/>
        <w:numPr>
          <w:ilvl w:val="0"/>
          <w:numId w:val="1"/>
        </w:numPr>
        <w:ind w:left="0" w:firstLine="0"/>
        <w:rPr>
          <w:rFonts w:cs="Arial"/>
          <w:lang w:val="fr-FR"/>
        </w:rPr>
      </w:pPr>
      <w:r w:rsidRPr="00A86354">
        <w:rPr>
          <w:rFonts w:cs="Arial"/>
          <w:lang w:val="fr-FR"/>
        </w:rPr>
        <w:t>L</w:t>
      </w:r>
      <w:r w:rsidRPr="00A86354" w:rsidR="0006032C">
        <w:rPr>
          <w:rFonts w:cs="Arial"/>
          <w:lang w:val="fr-FR"/>
        </w:rPr>
        <w:t>’</w:t>
      </w:r>
      <w:r w:rsidRPr="00A86354">
        <w:rPr>
          <w:rFonts w:cs="Arial"/>
          <w:lang w:val="fr-FR"/>
        </w:rPr>
        <w:t>a</w:t>
      </w:r>
      <w:r w:rsidRPr="00A86354" w:rsidR="00931A4A">
        <w:rPr>
          <w:rFonts w:cs="Arial"/>
          <w:lang w:val="fr-FR"/>
        </w:rPr>
        <w:t>rticle 49 (abrog</w:t>
      </w:r>
      <w:r w:rsidRPr="00A86354">
        <w:rPr>
          <w:rFonts w:cs="Arial"/>
          <w:lang w:val="fr-FR"/>
        </w:rPr>
        <w:t>é</w:t>
      </w:r>
      <w:r w:rsidRPr="00A86354" w:rsidR="00931A4A">
        <w:rPr>
          <w:rFonts w:cs="Arial"/>
          <w:lang w:val="fr-FR"/>
        </w:rPr>
        <w:t xml:space="preserve">) </w:t>
      </w:r>
      <w:r w:rsidRPr="00A86354">
        <w:rPr>
          <w:rFonts w:cs="Arial"/>
          <w:lang w:val="fr-FR"/>
        </w:rPr>
        <w:t>de la loi</w:t>
      </w:r>
      <w:r w:rsidRPr="00A86354" w:rsidR="006E3F1C">
        <w:rPr>
          <w:rFonts w:cs="Arial"/>
          <w:lang w:val="fr-FR"/>
        </w:rPr>
        <w:t xml:space="preserve"> n° 75-534 </w:t>
      </w:r>
      <w:r w:rsidRPr="00A86354">
        <w:rPr>
          <w:rFonts w:cs="Arial"/>
          <w:lang w:val="fr-FR"/>
        </w:rPr>
        <w:t>du</w:t>
      </w:r>
      <w:r w:rsidRPr="00A86354" w:rsidR="006E3F1C">
        <w:rPr>
          <w:rFonts w:cs="Arial"/>
          <w:lang w:val="fr-FR"/>
        </w:rPr>
        <w:t xml:space="preserve"> 30 </w:t>
      </w:r>
      <w:r w:rsidRPr="00A86354">
        <w:rPr>
          <w:rFonts w:cs="Arial"/>
          <w:lang w:val="fr-FR"/>
        </w:rPr>
        <w:t>juin</w:t>
      </w:r>
      <w:r w:rsidRPr="00A86354" w:rsidR="006E3F1C">
        <w:rPr>
          <w:rFonts w:cs="Arial"/>
          <w:lang w:val="fr-FR"/>
        </w:rPr>
        <w:t xml:space="preserve"> 1975 </w:t>
      </w:r>
      <w:r w:rsidRPr="00A86354" w:rsidR="000B15BD">
        <w:rPr>
          <w:rFonts w:cs="Arial"/>
          <w:lang w:val="fr-FR"/>
        </w:rPr>
        <w:t>d</w:t>
      </w:r>
      <w:r w:rsidRPr="00A86354" w:rsidR="0006032C">
        <w:rPr>
          <w:rFonts w:cs="Arial"/>
          <w:lang w:val="fr-FR"/>
        </w:rPr>
        <w:t>’</w:t>
      </w:r>
      <w:r w:rsidRPr="00A86354" w:rsidR="000B15BD">
        <w:rPr>
          <w:rFonts w:cs="Arial"/>
          <w:lang w:val="fr-FR"/>
        </w:rPr>
        <w:t>orientation en faveur des personnes handicapées</w:t>
      </w:r>
      <w:r w:rsidRPr="00A86354" w:rsidR="00410A2A">
        <w:rPr>
          <w:rFonts w:cs="Arial"/>
          <w:lang w:val="fr-FR"/>
        </w:rPr>
        <w:t xml:space="preserve"> </w:t>
      </w:r>
      <w:r w:rsidRPr="00A86354" w:rsidR="000B15BD">
        <w:rPr>
          <w:rFonts w:cs="Arial"/>
          <w:lang w:val="fr-FR"/>
        </w:rPr>
        <w:t>énonce le principe</w:t>
      </w:r>
      <w:r w:rsidRPr="00A86354" w:rsidR="00EC564E">
        <w:rPr>
          <w:rFonts w:cs="Arial"/>
          <w:lang w:val="fr-FR"/>
        </w:rPr>
        <w:t xml:space="preserve"> suivant en matière</w:t>
      </w:r>
      <w:r w:rsidRPr="00A86354" w:rsidR="000B15BD">
        <w:rPr>
          <w:rFonts w:cs="Arial"/>
          <w:lang w:val="fr-FR"/>
        </w:rPr>
        <w:t xml:space="preserve"> d</w:t>
      </w:r>
      <w:r w:rsidRPr="00A86354" w:rsidR="0006032C">
        <w:rPr>
          <w:rFonts w:cs="Arial"/>
          <w:lang w:val="fr-FR"/>
        </w:rPr>
        <w:t>’</w:t>
      </w:r>
      <w:r w:rsidRPr="00A86354" w:rsidR="000B15BD">
        <w:rPr>
          <w:rFonts w:cs="Arial"/>
          <w:lang w:val="fr-FR"/>
        </w:rPr>
        <w:t>accessibilité</w:t>
      </w:r>
      <w:r w:rsidRPr="00A86354" w:rsidR="000807D5">
        <w:rPr>
          <w:rFonts w:cs="Arial"/>
          <w:lang w:val="fr-FR"/>
        </w:rPr>
        <w:t> :</w:t>
      </w:r>
      <w:r w:rsidRPr="00A86354" w:rsidR="006E3F1C">
        <w:rPr>
          <w:rFonts w:cs="Arial"/>
          <w:lang w:val="fr-FR"/>
        </w:rPr>
        <w:t xml:space="preserve"> </w:t>
      </w:r>
    </w:p>
    <w:p w:rsidRPr="00A86354" w:rsidR="006E3F1C" w:rsidP="00223BFB" w:rsidRDefault="006E3F1C" w14:paraId="2A96DC10" w14:textId="78850A75">
      <w:pPr>
        <w:rPr>
          <w:rFonts w:ascii="Arial" w:hAnsi="Arial" w:cs="Arial"/>
          <w:lang w:val="fr-FR"/>
        </w:rPr>
      </w:pPr>
    </w:p>
    <w:p w:rsidRPr="00A86354" w:rsidR="006E3F1C" w:rsidP="00A86354" w:rsidRDefault="000807D5" w14:paraId="22EF10A2" w14:textId="0EF7B999">
      <w:pPr>
        <w:ind w:left="709"/>
        <w:rPr>
          <w:rFonts w:ascii="Arial" w:hAnsi="Arial" w:cs="Arial"/>
          <w:sz w:val="20"/>
          <w:szCs w:val="20"/>
          <w:lang w:val="fr-FR"/>
        </w:rPr>
      </w:pPr>
      <w:r w:rsidRPr="00A86354">
        <w:rPr>
          <w:rFonts w:ascii="Arial" w:hAnsi="Arial" w:cs="Arial"/>
          <w:sz w:val="20"/>
          <w:szCs w:val="20"/>
          <w:lang w:val="fr-FR"/>
        </w:rPr>
        <w:t>« </w:t>
      </w:r>
      <w:r w:rsidRPr="00A86354" w:rsidR="000B15BD">
        <w:rPr>
          <w:rFonts w:ascii="Arial" w:hAnsi="Arial" w:cs="Arial"/>
          <w:sz w:val="20"/>
          <w:szCs w:val="20"/>
          <w:lang w:val="fr-FR"/>
        </w:rPr>
        <w:t>Les aménagements des espaces publics en milieu urbain doivent être tels que ces espaces soient accessibles aux personnes handicapées</w:t>
      </w:r>
      <w:r w:rsidRPr="00A86354" w:rsidR="006E3F1C">
        <w:rPr>
          <w:rFonts w:ascii="Arial" w:hAnsi="Arial" w:cs="Arial"/>
          <w:sz w:val="20"/>
          <w:szCs w:val="20"/>
          <w:lang w:val="fr-FR"/>
        </w:rPr>
        <w:t>.</w:t>
      </w:r>
    </w:p>
    <w:p w:rsidRPr="00A86354" w:rsidR="006E3F1C" w:rsidP="00A86354" w:rsidRDefault="006E3F1C" w14:paraId="55650CD1" w14:textId="20A99BD9">
      <w:pPr>
        <w:ind w:left="709"/>
        <w:rPr>
          <w:rFonts w:ascii="Arial" w:hAnsi="Arial" w:cs="Arial"/>
          <w:sz w:val="20"/>
          <w:szCs w:val="20"/>
          <w:lang w:val="fr-FR"/>
        </w:rPr>
      </w:pPr>
    </w:p>
    <w:p w:rsidRPr="00A86354" w:rsidR="006E3F1C" w:rsidP="00A86354" w:rsidRDefault="000B15BD" w14:paraId="25CC9938" w14:textId="0DA301DA">
      <w:pPr>
        <w:ind w:left="709"/>
        <w:rPr>
          <w:rFonts w:ascii="Arial" w:hAnsi="Arial" w:cs="Arial"/>
          <w:sz w:val="20"/>
          <w:szCs w:val="20"/>
          <w:lang w:val="fr-FR"/>
        </w:rPr>
      </w:pPr>
      <w:r w:rsidRPr="00A86354">
        <w:rPr>
          <w:rFonts w:ascii="Arial" w:hAnsi="Arial" w:cs="Arial"/>
          <w:sz w:val="20"/>
          <w:szCs w:val="20"/>
          <w:lang w:val="fr-FR"/>
        </w:rPr>
        <w:t>Les dispositions architecturales et aménagements des locaux d</w:t>
      </w:r>
      <w:r w:rsidRPr="00A86354" w:rsidR="0006032C">
        <w:rPr>
          <w:rFonts w:ascii="Arial" w:hAnsi="Arial" w:cs="Arial"/>
          <w:sz w:val="20"/>
          <w:szCs w:val="20"/>
          <w:lang w:val="fr-FR"/>
        </w:rPr>
        <w:t>’</w:t>
      </w:r>
      <w:r w:rsidRPr="00A86354">
        <w:rPr>
          <w:rFonts w:ascii="Arial" w:hAnsi="Arial" w:cs="Arial"/>
          <w:sz w:val="20"/>
          <w:szCs w:val="20"/>
          <w:lang w:val="fr-FR"/>
        </w:rPr>
        <w:t>habitation et des installations ouvertes au public, notamment les locaux scolaires, universitaires et de formation doivent être tels que ces locaux et installations soient accessibles aux personnes handicapées.</w:t>
      </w:r>
      <w:r w:rsidRPr="00A86354" w:rsidR="000807D5">
        <w:rPr>
          <w:rFonts w:ascii="Arial" w:hAnsi="Arial" w:cs="Arial"/>
          <w:sz w:val="20"/>
          <w:szCs w:val="20"/>
          <w:lang w:val="fr-FR"/>
        </w:rPr>
        <w:t> »</w:t>
      </w:r>
    </w:p>
    <w:p w:rsidRPr="00A86354" w:rsidR="005B26F2" w:rsidP="00223BFB" w:rsidRDefault="005B26F2" w14:paraId="633A174A" w14:textId="77777777">
      <w:pPr>
        <w:rPr>
          <w:rFonts w:ascii="Arial" w:hAnsi="Arial" w:cs="Arial"/>
          <w:sz w:val="20"/>
          <w:szCs w:val="20"/>
          <w:lang w:val="fr-FR"/>
        </w:rPr>
      </w:pPr>
    </w:p>
    <w:p w:rsidRPr="00A86354" w:rsidR="00223BFB" w:rsidP="00CE016A" w:rsidRDefault="000B15BD" w14:paraId="0AECC256" w14:textId="2828185C">
      <w:pPr>
        <w:pStyle w:val="ListParagraph"/>
        <w:numPr>
          <w:ilvl w:val="0"/>
          <w:numId w:val="1"/>
        </w:numPr>
        <w:ind w:left="0" w:firstLine="0"/>
        <w:rPr>
          <w:rFonts w:cs="Arial"/>
          <w:lang w:val="fr-FR"/>
        </w:rPr>
      </w:pPr>
      <w:r w:rsidRPr="00A86354">
        <w:rPr>
          <w:rFonts w:cs="Arial"/>
          <w:lang w:val="fr-FR"/>
        </w:rPr>
        <w:t>La loi de</w:t>
      </w:r>
      <w:r w:rsidRPr="00A86354" w:rsidR="000327FC">
        <w:rPr>
          <w:rFonts w:cs="Arial"/>
          <w:lang w:val="fr-FR"/>
        </w:rPr>
        <w:t xml:space="preserve"> 2005 </w:t>
      </w:r>
      <w:r w:rsidRPr="00A86354" w:rsidR="009A7526">
        <w:rPr>
          <w:rFonts w:cs="Arial"/>
          <w:lang w:val="fr-FR"/>
        </w:rPr>
        <w:t>rappelle le principe d</w:t>
      </w:r>
      <w:r w:rsidRPr="00A86354" w:rsidR="0006032C">
        <w:rPr>
          <w:rFonts w:cs="Arial"/>
          <w:lang w:val="fr-FR"/>
        </w:rPr>
        <w:t>’</w:t>
      </w:r>
      <w:r w:rsidRPr="00A86354" w:rsidR="009A7526">
        <w:rPr>
          <w:rFonts w:cs="Arial"/>
          <w:lang w:val="fr-FR"/>
        </w:rPr>
        <w:t xml:space="preserve">accessibilité et fixe un délai de dix ans pour </w:t>
      </w:r>
      <w:r w:rsidRPr="00A86354" w:rsidR="0049012D">
        <w:rPr>
          <w:rFonts w:cs="Arial"/>
          <w:lang w:val="fr-FR"/>
        </w:rPr>
        <w:t>rendre les établissements publics neufs et existants accessibles à tous</w:t>
      </w:r>
      <w:r w:rsidRPr="00A86354" w:rsidR="005B26F2">
        <w:rPr>
          <w:rFonts w:cs="Arial"/>
          <w:lang w:val="fr-FR"/>
        </w:rPr>
        <w:t xml:space="preserve">. </w:t>
      </w:r>
      <w:r w:rsidRPr="00A86354" w:rsidR="009A7526">
        <w:rPr>
          <w:rFonts w:cs="Arial"/>
          <w:lang w:val="fr-FR"/>
        </w:rPr>
        <w:t xml:space="preserve">Les </w:t>
      </w:r>
      <w:r w:rsidRPr="00A86354" w:rsidR="005C2A6E">
        <w:rPr>
          <w:rFonts w:cs="Arial"/>
          <w:lang w:val="fr-FR"/>
        </w:rPr>
        <w:t>ERP</w:t>
      </w:r>
      <w:r w:rsidRPr="00A86354" w:rsidR="00BF2101">
        <w:rPr>
          <w:rFonts w:cs="Arial"/>
          <w:lang w:val="fr-FR"/>
        </w:rPr>
        <w:t xml:space="preserve"> </w:t>
      </w:r>
      <w:r w:rsidRPr="00A86354" w:rsidR="0049012D">
        <w:rPr>
          <w:rFonts w:cs="Arial"/>
          <w:lang w:val="fr-FR"/>
        </w:rPr>
        <w:t>visés dans les dispositions ci-dessous sont des bâtiments, locaux et enceintes dans lesquels des personnes extérieures sont admises, que l</w:t>
      </w:r>
      <w:r w:rsidRPr="00A86354" w:rsidR="0006032C">
        <w:rPr>
          <w:rFonts w:cs="Arial"/>
          <w:lang w:val="fr-FR"/>
        </w:rPr>
        <w:t>’</w:t>
      </w:r>
      <w:r w:rsidRPr="00A86354" w:rsidR="0049012D">
        <w:rPr>
          <w:rFonts w:cs="Arial"/>
          <w:lang w:val="fr-FR"/>
        </w:rPr>
        <w:t>accès soit payant ou gratuit, libre, restreint ou sur invitation.</w:t>
      </w:r>
      <w:r w:rsidRPr="00A86354" w:rsidR="00BF2101">
        <w:rPr>
          <w:rFonts w:cs="Arial"/>
          <w:lang w:val="fr-FR"/>
        </w:rPr>
        <w:t xml:space="preserve"> </w:t>
      </w:r>
      <w:r w:rsidRPr="00A86354" w:rsidR="0049012D">
        <w:rPr>
          <w:rFonts w:cs="Arial"/>
          <w:lang w:val="fr-FR"/>
        </w:rPr>
        <w:t>Conformément à l</w:t>
      </w:r>
      <w:r w:rsidRPr="00A86354" w:rsidR="0006032C">
        <w:rPr>
          <w:rFonts w:cs="Arial"/>
          <w:lang w:val="fr-FR"/>
        </w:rPr>
        <w:t>’</w:t>
      </w:r>
      <w:r w:rsidRPr="00A86354" w:rsidR="0049012D">
        <w:rPr>
          <w:rFonts w:cs="Arial"/>
          <w:lang w:val="fr-FR"/>
        </w:rPr>
        <w:t>a</w:t>
      </w:r>
      <w:r w:rsidRPr="00A86354" w:rsidR="005B26F2">
        <w:rPr>
          <w:rFonts w:cs="Arial"/>
          <w:lang w:val="fr-FR"/>
        </w:rPr>
        <w:t>rticle</w:t>
      </w:r>
      <w:r w:rsidRPr="00A86354" w:rsidR="00223BFB">
        <w:rPr>
          <w:rFonts w:cs="Arial"/>
          <w:lang w:val="fr-FR"/>
        </w:rPr>
        <w:t xml:space="preserve"> 41 (</w:t>
      </w:r>
      <w:r w:rsidRPr="00A86354" w:rsidR="0049012D">
        <w:rPr>
          <w:rFonts w:cs="Arial"/>
          <w:lang w:val="fr-FR"/>
        </w:rPr>
        <w:t>modifiant l</w:t>
      </w:r>
      <w:r w:rsidRPr="00A86354" w:rsidR="0006032C">
        <w:rPr>
          <w:rFonts w:cs="Arial"/>
          <w:lang w:val="fr-FR"/>
        </w:rPr>
        <w:t>’</w:t>
      </w:r>
      <w:r w:rsidRPr="00A86354" w:rsidR="0049012D">
        <w:rPr>
          <w:rFonts w:cs="Arial"/>
          <w:lang w:val="fr-FR"/>
        </w:rPr>
        <w:t>a</w:t>
      </w:r>
      <w:r w:rsidRPr="00A86354" w:rsidR="00223BFB">
        <w:rPr>
          <w:rFonts w:cs="Arial"/>
          <w:lang w:val="fr-FR"/>
        </w:rPr>
        <w:t>rticle L. 111</w:t>
      </w:r>
      <w:r w:rsidRPr="00A86354" w:rsidR="0049012D">
        <w:rPr>
          <w:rFonts w:cs="Arial"/>
          <w:lang w:val="fr-FR"/>
        </w:rPr>
        <w:t>-</w:t>
      </w:r>
      <w:r w:rsidRPr="00A86354" w:rsidR="00223BFB">
        <w:rPr>
          <w:rFonts w:cs="Arial"/>
          <w:lang w:val="fr-FR"/>
        </w:rPr>
        <w:t xml:space="preserve">7 </w:t>
      </w:r>
      <w:r w:rsidRPr="00A86354" w:rsidR="0049012D">
        <w:rPr>
          <w:rFonts w:cs="Arial"/>
          <w:lang w:val="fr-FR"/>
        </w:rPr>
        <w:t>du code</w:t>
      </w:r>
      <w:r w:rsidRPr="00A86354" w:rsidR="00223BFB">
        <w:rPr>
          <w:rFonts w:cs="Arial"/>
          <w:lang w:val="fr-FR"/>
        </w:rPr>
        <w:t xml:space="preserve"> </w:t>
      </w:r>
      <w:r w:rsidRPr="00A86354" w:rsidR="0049012D">
        <w:rPr>
          <w:rFonts w:cs="Arial"/>
          <w:lang w:val="fr-FR"/>
        </w:rPr>
        <w:t>de la</w:t>
      </w:r>
      <w:r w:rsidRPr="00A86354" w:rsidR="00223BFB">
        <w:rPr>
          <w:rFonts w:cs="Arial"/>
          <w:lang w:val="fr-FR"/>
        </w:rPr>
        <w:t xml:space="preserve"> construction </w:t>
      </w:r>
      <w:r w:rsidRPr="00A86354" w:rsidR="0049012D">
        <w:rPr>
          <w:rFonts w:cs="Arial"/>
          <w:lang w:val="fr-FR"/>
        </w:rPr>
        <w:t>et de l</w:t>
      </w:r>
      <w:r w:rsidRPr="00A86354" w:rsidR="0006032C">
        <w:rPr>
          <w:rFonts w:cs="Arial"/>
          <w:lang w:val="fr-FR"/>
        </w:rPr>
        <w:t>’</w:t>
      </w:r>
      <w:r w:rsidRPr="00A86354" w:rsidR="0049012D">
        <w:rPr>
          <w:rFonts w:cs="Arial"/>
          <w:lang w:val="fr-FR"/>
        </w:rPr>
        <w:t>habitation</w:t>
      </w:r>
      <w:r w:rsidRPr="00A86354" w:rsidR="006E3F1C">
        <w:rPr>
          <w:rFonts w:cs="Arial"/>
          <w:lang w:val="fr-FR"/>
        </w:rPr>
        <w:t>)</w:t>
      </w:r>
      <w:r w:rsidRPr="00A86354" w:rsidR="005B26F2">
        <w:rPr>
          <w:rFonts w:cs="Arial"/>
          <w:lang w:val="fr-FR"/>
        </w:rPr>
        <w:t xml:space="preserve"> </w:t>
      </w:r>
      <w:r w:rsidRPr="00A86354" w:rsidR="0049012D">
        <w:rPr>
          <w:rFonts w:cs="Arial"/>
          <w:lang w:val="fr-FR"/>
        </w:rPr>
        <w:t>de la loi de</w:t>
      </w:r>
      <w:r w:rsidRPr="00A86354" w:rsidR="005B26F2">
        <w:rPr>
          <w:rFonts w:cs="Arial"/>
          <w:lang w:val="fr-FR"/>
        </w:rPr>
        <w:t xml:space="preserve"> 2005</w:t>
      </w:r>
      <w:r w:rsidRPr="00A86354" w:rsidR="000807D5">
        <w:rPr>
          <w:rFonts w:cs="Arial"/>
          <w:lang w:val="fr-FR"/>
        </w:rPr>
        <w:t> :</w:t>
      </w:r>
    </w:p>
    <w:p w:rsidRPr="00A86354" w:rsidR="00223BFB" w:rsidP="00164744" w:rsidRDefault="00223BFB" w14:paraId="5CBF358C" w14:textId="2E763638">
      <w:pPr>
        <w:rPr>
          <w:rFonts w:ascii="Arial" w:hAnsi="Arial" w:cs="Arial"/>
          <w:lang w:val="fr-FR"/>
        </w:rPr>
      </w:pPr>
    </w:p>
    <w:p w:rsidRPr="00A86354" w:rsidR="00223BFB" w:rsidP="00A86354" w:rsidRDefault="000807D5" w14:paraId="74B9721D" w14:textId="62004D9F">
      <w:pPr>
        <w:ind w:left="709"/>
        <w:rPr>
          <w:rFonts w:ascii="Arial" w:hAnsi="Arial" w:cs="Arial"/>
          <w:sz w:val="20"/>
          <w:szCs w:val="20"/>
          <w:lang w:val="fr-FR"/>
        </w:rPr>
      </w:pPr>
      <w:r w:rsidRPr="00A86354">
        <w:rPr>
          <w:rFonts w:ascii="Arial" w:hAnsi="Arial" w:cs="Arial"/>
          <w:sz w:val="20"/>
          <w:szCs w:val="20"/>
          <w:lang w:val="fr-FR"/>
        </w:rPr>
        <w:t>« </w:t>
      </w:r>
      <w:r w:rsidRPr="00A86354" w:rsidR="00223BFB">
        <w:rPr>
          <w:rFonts w:ascii="Arial" w:hAnsi="Arial" w:cs="Arial"/>
          <w:sz w:val="20"/>
          <w:szCs w:val="20"/>
          <w:lang w:val="fr-FR"/>
        </w:rPr>
        <w:t xml:space="preserve"> </w:t>
      </w:r>
      <w:r w:rsidRPr="00A86354" w:rsidR="002C5D46">
        <w:rPr>
          <w:rFonts w:ascii="Arial" w:hAnsi="Arial" w:cs="Arial"/>
          <w:sz w:val="20"/>
          <w:szCs w:val="20"/>
          <w:lang w:val="fr-FR"/>
        </w:rPr>
        <w:t>[...]</w:t>
      </w:r>
      <w:r w:rsidRPr="00A86354" w:rsidR="00223BFB">
        <w:rPr>
          <w:rFonts w:ascii="Arial" w:hAnsi="Arial" w:cs="Arial"/>
          <w:sz w:val="20"/>
          <w:szCs w:val="20"/>
          <w:lang w:val="fr-FR"/>
        </w:rPr>
        <w:t xml:space="preserve"> </w:t>
      </w:r>
      <w:r w:rsidRPr="00A86354" w:rsidR="0049012D">
        <w:rPr>
          <w:rFonts w:ascii="Arial" w:hAnsi="Arial" w:cs="Arial"/>
          <w:sz w:val="20"/>
          <w:szCs w:val="20"/>
          <w:lang w:val="fr-FR"/>
        </w:rPr>
        <w:t>Les dispositions architecturales, les aménagements et équipements intérieurs et extérieurs des locaux d</w:t>
      </w:r>
      <w:r w:rsidRPr="00A86354" w:rsidR="0006032C">
        <w:rPr>
          <w:rFonts w:ascii="Arial" w:hAnsi="Arial" w:cs="Arial"/>
          <w:sz w:val="20"/>
          <w:szCs w:val="20"/>
          <w:lang w:val="fr-FR"/>
        </w:rPr>
        <w:t>’</w:t>
      </w:r>
      <w:r w:rsidRPr="00A86354" w:rsidR="0049012D">
        <w:rPr>
          <w:rFonts w:ascii="Arial" w:hAnsi="Arial" w:cs="Arial"/>
          <w:sz w:val="20"/>
          <w:szCs w:val="20"/>
          <w:lang w:val="fr-FR"/>
        </w:rPr>
        <w:t>habitation, qu</w:t>
      </w:r>
      <w:r w:rsidRPr="00A86354" w:rsidR="0006032C">
        <w:rPr>
          <w:rFonts w:ascii="Arial" w:hAnsi="Arial" w:cs="Arial"/>
          <w:sz w:val="20"/>
          <w:szCs w:val="20"/>
          <w:lang w:val="fr-FR"/>
        </w:rPr>
        <w:t>’</w:t>
      </w:r>
      <w:r w:rsidRPr="00A86354" w:rsidR="0049012D">
        <w:rPr>
          <w:rFonts w:ascii="Arial" w:hAnsi="Arial" w:cs="Arial"/>
          <w:sz w:val="20"/>
          <w:szCs w:val="20"/>
          <w:lang w:val="fr-FR"/>
        </w:rPr>
        <w:t xml:space="preserve">ils soient la propriété de personnes privées ou publiques, des établissements recevant du public, des installations ouvertes au public et des lieux de travail doivent être tels que ces locaux et installations soient accessibles à tous, et notamment aux personnes handicapées, quel que soit le type de handicap, notamment physique, sensoriel, cognitif, mental ou psychique, dans les cas et selon les conditions </w:t>
      </w:r>
      <w:r w:rsidRPr="00A86354" w:rsidR="0049012D">
        <w:rPr>
          <w:rFonts w:ascii="Arial" w:hAnsi="Arial" w:cs="Arial"/>
          <w:sz w:val="20"/>
          <w:szCs w:val="20"/>
          <w:lang w:val="fr-FR"/>
        </w:rPr>
        <w:lastRenderedPageBreak/>
        <w:t>déterminés aux articles L. 111-7-1 à L. 111-7-3. Ces dispositions ne sont pas obligatoires pour les propriétaires construisant ou améliorant un logement pour leur propre usage.</w:t>
      </w:r>
    </w:p>
    <w:p w:rsidRPr="00A86354" w:rsidR="00BF2101" w:rsidP="00A86354" w:rsidRDefault="00BF2101" w14:paraId="54F464FE" w14:textId="77777777">
      <w:pPr>
        <w:ind w:left="709"/>
        <w:rPr>
          <w:rFonts w:ascii="Arial" w:hAnsi="Arial" w:cs="Arial"/>
          <w:sz w:val="20"/>
          <w:szCs w:val="20"/>
          <w:lang w:val="fr-FR"/>
        </w:rPr>
      </w:pPr>
    </w:p>
    <w:p w:rsidRPr="00A86354" w:rsidR="00BF2101" w:rsidP="00A86354" w:rsidRDefault="00086C29" w14:paraId="4343CB60" w14:textId="11492B48">
      <w:pPr>
        <w:ind w:left="709"/>
        <w:rPr>
          <w:rFonts w:ascii="Arial" w:hAnsi="Arial" w:cs="Arial"/>
          <w:sz w:val="20"/>
          <w:szCs w:val="20"/>
          <w:lang w:val="fr-FR"/>
        </w:rPr>
      </w:pPr>
      <w:r w:rsidRPr="00A86354">
        <w:rPr>
          <w:rFonts w:ascii="Arial" w:hAnsi="Arial" w:cs="Arial"/>
          <w:sz w:val="20"/>
          <w:szCs w:val="20"/>
          <w:lang w:val="fr-FR"/>
        </w:rPr>
        <w:t>Des décrets en Conseil d</w:t>
      </w:r>
      <w:r w:rsidRPr="00A86354" w:rsidR="0006032C">
        <w:rPr>
          <w:rFonts w:ascii="Arial" w:hAnsi="Arial" w:cs="Arial"/>
          <w:sz w:val="20"/>
          <w:szCs w:val="20"/>
          <w:lang w:val="fr-FR"/>
        </w:rPr>
        <w:t>’</w:t>
      </w:r>
      <w:r w:rsidRPr="00A86354">
        <w:rPr>
          <w:rFonts w:ascii="Arial" w:hAnsi="Arial" w:cs="Arial"/>
          <w:sz w:val="20"/>
          <w:szCs w:val="20"/>
          <w:lang w:val="fr-FR"/>
        </w:rPr>
        <w:t>Etat fixent les modalités relatives à l</w:t>
      </w:r>
      <w:r w:rsidRPr="00A86354" w:rsidR="0006032C">
        <w:rPr>
          <w:rFonts w:ascii="Arial" w:hAnsi="Arial" w:cs="Arial"/>
          <w:sz w:val="20"/>
          <w:szCs w:val="20"/>
          <w:lang w:val="fr-FR"/>
        </w:rPr>
        <w:t>’</w:t>
      </w:r>
      <w:r w:rsidRPr="00A86354">
        <w:rPr>
          <w:rFonts w:ascii="Arial" w:hAnsi="Arial" w:cs="Arial"/>
          <w:sz w:val="20"/>
          <w:szCs w:val="20"/>
          <w:lang w:val="fr-FR"/>
        </w:rPr>
        <w:t>accessibilité aux personnes handicapées prévue à l</w:t>
      </w:r>
      <w:r w:rsidRPr="00A86354" w:rsidR="0006032C">
        <w:rPr>
          <w:rFonts w:ascii="Arial" w:hAnsi="Arial" w:cs="Arial"/>
          <w:sz w:val="20"/>
          <w:szCs w:val="20"/>
          <w:lang w:val="fr-FR"/>
        </w:rPr>
        <w:t>’</w:t>
      </w:r>
      <w:r w:rsidRPr="00A86354">
        <w:rPr>
          <w:rFonts w:ascii="Arial" w:hAnsi="Arial" w:cs="Arial"/>
          <w:sz w:val="20"/>
          <w:szCs w:val="20"/>
          <w:lang w:val="fr-FR"/>
        </w:rPr>
        <w:t>article L. 111-7 que doivent respecter les bâtiments ou parties de bâtiments nouveaux.</w:t>
      </w:r>
      <w:r w:rsidRPr="00A86354" w:rsidR="00BF2101">
        <w:rPr>
          <w:rFonts w:ascii="Arial" w:hAnsi="Arial" w:cs="Arial"/>
          <w:sz w:val="20"/>
          <w:szCs w:val="20"/>
          <w:lang w:val="fr-FR"/>
        </w:rPr>
        <w:t xml:space="preserve"> </w:t>
      </w:r>
      <w:r w:rsidRPr="00A86354">
        <w:rPr>
          <w:rFonts w:ascii="Arial" w:hAnsi="Arial" w:cs="Arial"/>
          <w:sz w:val="20"/>
          <w:szCs w:val="20"/>
          <w:lang w:val="fr-FR"/>
        </w:rPr>
        <w:t>Ils précisent les modalités particulières applicables à la construction de maisons individuelles.</w:t>
      </w:r>
    </w:p>
    <w:p w:rsidRPr="00A86354" w:rsidR="00BF2101" w:rsidP="00A86354" w:rsidRDefault="00BF2101" w14:paraId="0A244E2E" w14:textId="77777777">
      <w:pPr>
        <w:ind w:left="709"/>
        <w:rPr>
          <w:rFonts w:ascii="Arial" w:hAnsi="Arial" w:cs="Arial"/>
          <w:sz w:val="20"/>
          <w:szCs w:val="20"/>
          <w:lang w:val="fr-FR"/>
        </w:rPr>
      </w:pPr>
    </w:p>
    <w:p w:rsidRPr="00A86354" w:rsidR="00BF2101" w:rsidP="00A86354" w:rsidRDefault="00086C29" w14:paraId="798A42B4" w14:textId="6F553C0D">
      <w:pPr>
        <w:ind w:left="709"/>
        <w:rPr>
          <w:rFonts w:ascii="Arial" w:hAnsi="Arial" w:cs="Arial"/>
          <w:sz w:val="20"/>
          <w:szCs w:val="20"/>
          <w:lang w:val="fr-FR"/>
        </w:rPr>
      </w:pPr>
      <w:r w:rsidRPr="00A86354">
        <w:rPr>
          <w:rFonts w:ascii="Arial" w:hAnsi="Arial" w:cs="Arial"/>
          <w:sz w:val="20"/>
          <w:szCs w:val="20"/>
          <w:lang w:val="fr-FR"/>
        </w:rPr>
        <w:t>Les mesures de mise en accessibilité des logements sont évaluées dans un délai de trois ans à compter de la publication de la loi n° 2005-102 du 11 février 2005 pour l</w:t>
      </w:r>
      <w:r w:rsidRPr="00A86354" w:rsidR="0006032C">
        <w:rPr>
          <w:rFonts w:ascii="Arial" w:hAnsi="Arial" w:cs="Arial"/>
          <w:sz w:val="20"/>
          <w:szCs w:val="20"/>
          <w:lang w:val="fr-FR"/>
        </w:rPr>
        <w:t>’</w:t>
      </w:r>
      <w:r w:rsidRPr="00A86354">
        <w:rPr>
          <w:rFonts w:ascii="Arial" w:hAnsi="Arial" w:cs="Arial"/>
          <w:sz w:val="20"/>
          <w:szCs w:val="20"/>
          <w:lang w:val="fr-FR"/>
        </w:rPr>
        <w:t>égalité des droits et des chances, la participation et la citoyenneté des personnes handicapées et une estimation de leur impact financier sur le montant des loyers est réalisée afin d</w:t>
      </w:r>
      <w:r w:rsidRPr="00A86354" w:rsidR="0006032C">
        <w:rPr>
          <w:rFonts w:ascii="Arial" w:hAnsi="Arial" w:cs="Arial"/>
          <w:sz w:val="20"/>
          <w:szCs w:val="20"/>
          <w:lang w:val="fr-FR"/>
        </w:rPr>
        <w:t>’</w:t>
      </w:r>
      <w:r w:rsidRPr="00A86354">
        <w:rPr>
          <w:rFonts w:ascii="Arial" w:hAnsi="Arial" w:cs="Arial"/>
          <w:sz w:val="20"/>
          <w:szCs w:val="20"/>
          <w:lang w:val="fr-FR"/>
        </w:rPr>
        <w:t>envisager, si nécessaire, les réponses à apporter à ce phénomène.</w:t>
      </w:r>
    </w:p>
    <w:p w:rsidRPr="00A86354" w:rsidR="00BF2101" w:rsidP="00A86354" w:rsidRDefault="00BF2101" w14:paraId="2208EFD6" w14:textId="4BE59E23">
      <w:pPr>
        <w:ind w:left="709"/>
        <w:rPr>
          <w:rFonts w:ascii="Arial" w:hAnsi="Arial" w:cs="Arial"/>
          <w:sz w:val="20"/>
          <w:szCs w:val="20"/>
          <w:lang w:val="fr-FR"/>
        </w:rPr>
      </w:pPr>
    </w:p>
    <w:p w:rsidRPr="00A86354" w:rsidR="00BF2101" w:rsidP="00A86354" w:rsidRDefault="00716094" w14:paraId="42F083CD" w14:textId="433556AC">
      <w:pPr>
        <w:ind w:left="709"/>
        <w:rPr>
          <w:rFonts w:ascii="Arial" w:hAnsi="Arial" w:cs="Arial"/>
          <w:sz w:val="20"/>
          <w:szCs w:val="20"/>
          <w:lang w:val="fr-FR"/>
        </w:rPr>
      </w:pPr>
      <w:r w:rsidRPr="00A86354">
        <w:rPr>
          <w:rFonts w:ascii="Arial" w:hAnsi="Arial" w:cs="Arial"/>
          <w:sz w:val="20"/>
          <w:szCs w:val="20"/>
          <w:lang w:val="fr-FR"/>
        </w:rPr>
        <w:t>Les établissements existants recevant du public doivent être tels que toute personne handicapée puisse y accéder, y circuler et y recevoir les informations qui y sont diffusées, dans les parties ouvertes au public. L</w:t>
      </w:r>
      <w:r w:rsidRPr="00A86354" w:rsidR="0006032C">
        <w:rPr>
          <w:rFonts w:ascii="Arial" w:hAnsi="Arial" w:cs="Arial"/>
          <w:sz w:val="20"/>
          <w:szCs w:val="20"/>
          <w:lang w:val="fr-FR"/>
        </w:rPr>
        <w:t>’</w:t>
      </w:r>
      <w:r w:rsidRPr="00A86354">
        <w:rPr>
          <w:rFonts w:ascii="Arial" w:hAnsi="Arial" w:cs="Arial"/>
          <w:sz w:val="20"/>
          <w:szCs w:val="20"/>
          <w:lang w:val="fr-FR"/>
        </w:rPr>
        <w:t>information destinée au public doit être diffusée par des moyens adaptés aux différents handicaps.</w:t>
      </w:r>
    </w:p>
    <w:p w:rsidRPr="00A86354" w:rsidR="00BF2101" w:rsidP="00A86354" w:rsidRDefault="00BF2101" w14:paraId="4B49B4B6" w14:textId="13DCF04A">
      <w:pPr>
        <w:ind w:left="709"/>
        <w:rPr>
          <w:rFonts w:ascii="Arial" w:hAnsi="Arial" w:cs="Arial"/>
          <w:sz w:val="20"/>
          <w:szCs w:val="20"/>
          <w:lang w:val="fr-FR"/>
        </w:rPr>
      </w:pPr>
    </w:p>
    <w:p w:rsidRPr="00A86354" w:rsidR="00BF2101" w:rsidP="00A86354" w:rsidRDefault="002C5D46" w14:paraId="1DFAF258" w14:textId="0B1FA6BF">
      <w:pPr>
        <w:ind w:left="709"/>
        <w:rPr>
          <w:rFonts w:ascii="Arial" w:hAnsi="Arial" w:cs="Arial"/>
          <w:sz w:val="20"/>
          <w:szCs w:val="20"/>
          <w:lang w:val="fr-FR"/>
        </w:rPr>
      </w:pPr>
      <w:r w:rsidRPr="00A86354">
        <w:rPr>
          <w:rFonts w:ascii="Arial" w:hAnsi="Arial" w:cs="Arial"/>
          <w:sz w:val="20"/>
          <w:szCs w:val="20"/>
          <w:lang w:val="fr-FR"/>
        </w:rPr>
        <w:t>[...]</w:t>
      </w:r>
    </w:p>
    <w:p w:rsidRPr="00A86354" w:rsidR="00BF2101" w:rsidP="00A86354" w:rsidRDefault="00BF2101" w14:paraId="390BC6F8" w14:textId="77777777">
      <w:pPr>
        <w:ind w:left="709"/>
        <w:rPr>
          <w:rFonts w:ascii="Arial" w:hAnsi="Arial" w:cs="Arial"/>
          <w:sz w:val="20"/>
          <w:szCs w:val="20"/>
          <w:lang w:val="fr-FR"/>
        </w:rPr>
      </w:pPr>
    </w:p>
    <w:p w:rsidRPr="00A86354" w:rsidR="00BF2101" w:rsidP="00A86354" w:rsidRDefault="00716094" w14:paraId="4251A675" w14:textId="2222876D">
      <w:pPr>
        <w:ind w:left="709"/>
        <w:rPr>
          <w:rFonts w:ascii="Arial" w:hAnsi="Arial" w:cs="Arial"/>
          <w:sz w:val="20"/>
          <w:szCs w:val="20"/>
          <w:lang w:val="fr-FR"/>
        </w:rPr>
      </w:pPr>
      <w:r w:rsidRPr="00A86354">
        <w:rPr>
          <w:rFonts w:ascii="Arial" w:hAnsi="Arial" w:cs="Arial"/>
          <w:sz w:val="20"/>
          <w:szCs w:val="20"/>
          <w:lang w:val="fr-FR"/>
        </w:rPr>
        <w:t>Les établissements recevant du public existants devront répondre à ces exigences dans un délai, fixé par décret en Conseil d</w:t>
      </w:r>
      <w:r w:rsidRPr="00A86354" w:rsidR="0006032C">
        <w:rPr>
          <w:rFonts w:ascii="Arial" w:hAnsi="Arial" w:cs="Arial"/>
          <w:sz w:val="20"/>
          <w:szCs w:val="20"/>
          <w:lang w:val="fr-FR"/>
        </w:rPr>
        <w:t>’</w:t>
      </w:r>
      <w:r w:rsidRPr="00A86354">
        <w:rPr>
          <w:rFonts w:ascii="Arial" w:hAnsi="Arial" w:cs="Arial"/>
          <w:sz w:val="20"/>
          <w:szCs w:val="20"/>
          <w:lang w:val="fr-FR"/>
        </w:rPr>
        <w:t>Etat, qui pourra varier par type et catégorie d</w:t>
      </w:r>
      <w:r w:rsidRPr="00A86354" w:rsidR="0006032C">
        <w:rPr>
          <w:rFonts w:ascii="Arial" w:hAnsi="Arial" w:cs="Arial"/>
          <w:sz w:val="20"/>
          <w:szCs w:val="20"/>
          <w:lang w:val="fr-FR"/>
        </w:rPr>
        <w:t>’</w:t>
      </w:r>
      <w:r w:rsidRPr="00A86354">
        <w:rPr>
          <w:rFonts w:ascii="Arial" w:hAnsi="Arial" w:cs="Arial"/>
          <w:sz w:val="20"/>
          <w:szCs w:val="20"/>
          <w:lang w:val="fr-FR"/>
        </w:rPr>
        <w:t>établissement, sans excéder dix ans à compter de la publication de la loi n° 2005-102 du 11 février 2005 pour l</w:t>
      </w:r>
      <w:r w:rsidRPr="00A86354" w:rsidR="0006032C">
        <w:rPr>
          <w:rFonts w:ascii="Arial" w:hAnsi="Arial" w:cs="Arial"/>
          <w:sz w:val="20"/>
          <w:szCs w:val="20"/>
          <w:lang w:val="fr-FR"/>
        </w:rPr>
        <w:t>’</w:t>
      </w:r>
      <w:r w:rsidRPr="00A86354">
        <w:rPr>
          <w:rFonts w:ascii="Arial" w:hAnsi="Arial" w:cs="Arial"/>
          <w:sz w:val="20"/>
          <w:szCs w:val="20"/>
          <w:lang w:val="fr-FR"/>
        </w:rPr>
        <w:t>égalité des droits et des chances, la participation et la citoyenneté des personnes handicapées.</w:t>
      </w:r>
    </w:p>
    <w:p w:rsidRPr="00A86354" w:rsidR="00BF2101" w:rsidP="00A86354" w:rsidRDefault="00BF2101" w14:paraId="2B954EED" w14:textId="0B47CBFF">
      <w:pPr>
        <w:ind w:left="709"/>
        <w:rPr>
          <w:rFonts w:ascii="Arial" w:hAnsi="Arial" w:cs="Arial"/>
          <w:sz w:val="20"/>
          <w:szCs w:val="20"/>
          <w:lang w:val="fr-FR"/>
        </w:rPr>
      </w:pPr>
    </w:p>
    <w:p w:rsidRPr="00A86354" w:rsidR="00BF2101" w:rsidP="00A86354" w:rsidRDefault="002C5D46" w14:paraId="5C699C99" w14:textId="0D1D82F9">
      <w:pPr>
        <w:ind w:left="709"/>
        <w:rPr>
          <w:rFonts w:ascii="Arial" w:hAnsi="Arial" w:cs="Arial"/>
          <w:sz w:val="20"/>
          <w:szCs w:val="20"/>
          <w:lang w:val="fr-FR"/>
        </w:rPr>
      </w:pPr>
      <w:r w:rsidRPr="00A86354">
        <w:rPr>
          <w:rFonts w:ascii="Arial" w:hAnsi="Arial" w:cs="Arial"/>
          <w:sz w:val="20"/>
          <w:szCs w:val="20"/>
          <w:lang w:val="fr-FR"/>
        </w:rPr>
        <w:t>[...]</w:t>
      </w:r>
      <w:r w:rsidRPr="00A86354" w:rsidR="000807D5">
        <w:rPr>
          <w:rFonts w:ascii="Arial" w:hAnsi="Arial" w:cs="Arial"/>
          <w:sz w:val="20"/>
          <w:szCs w:val="20"/>
          <w:lang w:val="fr-FR"/>
        </w:rPr>
        <w:t> »</w:t>
      </w:r>
    </w:p>
    <w:p w:rsidRPr="00A86354" w:rsidR="00BF2101" w:rsidP="00164744" w:rsidRDefault="00BF2101" w14:paraId="3458A9E7" w14:textId="77777777">
      <w:pPr>
        <w:rPr>
          <w:rFonts w:ascii="Arial" w:hAnsi="Arial" w:cs="Arial"/>
          <w:lang w:val="fr-FR"/>
        </w:rPr>
      </w:pPr>
    </w:p>
    <w:p w:rsidRPr="00A86354" w:rsidR="005B26F2" w:rsidP="00CE016A" w:rsidRDefault="00716094" w14:paraId="737715C0" w14:textId="14B1A190">
      <w:pPr>
        <w:pStyle w:val="ListParagraph"/>
        <w:numPr>
          <w:ilvl w:val="0"/>
          <w:numId w:val="1"/>
        </w:numPr>
        <w:ind w:left="0" w:firstLine="0"/>
        <w:rPr>
          <w:rFonts w:cs="Arial"/>
          <w:lang w:val="fr-FR"/>
        </w:rPr>
      </w:pPr>
      <w:r w:rsidRPr="00A86354">
        <w:rPr>
          <w:rFonts w:cs="Arial"/>
          <w:lang w:val="fr-FR"/>
        </w:rPr>
        <w:t>L</w:t>
      </w:r>
      <w:r w:rsidRPr="00A86354" w:rsidR="0006032C">
        <w:rPr>
          <w:rFonts w:cs="Arial"/>
          <w:lang w:val="fr-FR"/>
        </w:rPr>
        <w:t>’</w:t>
      </w:r>
      <w:r w:rsidRPr="00A86354">
        <w:rPr>
          <w:rFonts w:cs="Arial"/>
          <w:lang w:val="fr-FR"/>
        </w:rPr>
        <w:t>ordonnance n° 2014-1090 du 26 septembre 2014 relative à la mise en accessibilité des établissements recevant du public, des transports publics, des bâtiments d</w:t>
      </w:r>
      <w:r w:rsidRPr="00A86354" w:rsidR="0006032C">
        <w:rPr>
          <w:rFonts w:cs="Arial"/>
          <w:lang w:val="fr-FR"/>
        </w:rPr>
        <w:t>’</w:t>
      </w:r>
      <w:r w:rsidRPr="00A86354">
        <w:rPr>
          <w:rFonts w:cs="Arial"/>
          <w:lang w:val="fr-FR"/>
        </w:rPr>
        <w:t>habitation et de la voirie pour les personnes handicapées</w:t>
      </w:r>
      <w:r w:rsidRPr="00A86354" w:rsidR="00D80578">
        <w:rPr>
          <w:rFonts w:cs="Arial"/>
          <w:lang w:val="fr-FR"/>
        </w:rPr>
        <w:t xml:space="preserve">, </w:t>
      </w:r>
      <w:r w:rsidRPr="00A86354" w:rsidR="00D30A46">
        <w:rPr>
          <w:rFonts w:cs="Arial"/>
          <w:lang w:val="fr-FR"/>
        </w:rPr>
        <w:t>ratifi</w:t>
      </w:r>
      <w:r w:rsidRPr="00A86354">
        <w:rPr>
          <w:rFonts w:cs="Arial"/>
          <w:lang w:val="fr-FR"/>
        </w:rPr>
        <w:t>ée par la loi n°</w:t>
      </w:r>
      <w:r w:rsidRPr="00A86354" w:rsidR="00D80578">
        <w:rPr>
          <w:rFonts w:cs="Arial"/>
          <w:lang w:val="fr-FR"/>
        </w:rPr>
        <w:t xml:space="preserve"> 2015-988 </w:t>
      </w:r>
      <w:r w:rsidRPr="00A86354">
        <w:rPr>
          <w:rFonts w:cs="Arial"/>
          <w:lang w:val="fr-FR"/>
        </w:rPr>
        <w:t>du</w:t>
      </w:r>
      <w:r w:rsidRPr="00A86354" w:rsidR="00D80578">
        <w:rPr>
          <w:rFonts w:cs="Arial"/>
          <w:lang w:val="fr-FR"/>
        </w:rPr>
        <w:t xml:space="preserve"> 5 </w:t>
      </w:r>
      <w:r w:rsidRPr="00A86354">
        <w:rPr>
          <w:rFonts w:cs="Arial"/>
          <w:lang w:val="fr-FR"/>
        </w:rPr>
        <w:t>août</w:t>
      </w:r>
      <w:r w:rsidRPr="00A86354" w:rsidR="00D80578">
        <w:rPr>
          <w:rFonts w:cs="Arial"/>
          <w:lang w:val="fr-FR"/>
        </w:rPr>
        <w:t xml:space="preserve"> 2015, </w:t>
      </w:r>
      <w:r w:rsidRPr="00A86354">
        <w:rPr>
          <w:rFonts w:cs="Arial"/>
          <w:lang w:val="fr-FR"/>
        </w:rPr>
        <w:t>omet et abroge le délai de dix ans</w:t>
      </w:r>
      <w:r w:rsidRPr="00A86354" w:rsidR="00E41DDE">
        <w:rPr>
          <w:rFonts w:cs="Arial"/>
          <w:lang w:val="fr-FR"/>
        </w:rPr>
        <w:t>.</w:t>
      </w:r>
      <w:r w:rsidRPr="00A86354">
        <w:rPr>
          <w:rFonts w:cs="Arial"/>
          <w:lang w:val="fr-FR"/>
        </w:rPr>
        <w:t xml:space="preserve"> Elle instaure en revanche l</w:t>
      </w:r>
      <w:r w:rsidRPr="00A86354" w:rsidR="0006032C">
        <w:rPr>
          <w:rFonts w:cs="Arial"/>
          <w:lang w:val="fr-FR"/>
        </w:rPr>
        <w:t>’</w:t>
      </w:r>
      <w:r w:rsidRPr="00A86354" w:rsidR="00D80578">
        <w:rPr>
          <w:rFonts w:cs="Arial"/>
          <w:lang w:val="fr-FR"/>
        </w:rPr>
        <w:t xml:space="preserve">obligation </w:t>
      </w:r>
      <w:r w:rsidRPr="00A86354">
        <w:rPr>
          <w:rFonts w:cs="Arial"/>
          <w:lang w:val="fr-FR"/>
        </w:rPr>
        <w:t>pour les ERP de</w:t>
      </w:r>
      <w:r w:rsidRPr="00A86354" w:rsidR="00096324">
        <w:rPr>
          <w:rFonts w:cs="Arial"/>
          <w:lang w:val="fr-FR"/>
        </w:rPr>
        <w:t xml:space="preserve"> pr</w:t>
      </w:r>
      <w:r w:rsidRPr="00A86354">
        <w:rPr>
          <w:rFonts w:cs="Arial"/>
          <w:lang w:val="fr-FR"/>
        </w:rPr>
        <w:t>é</w:t>
      </w:r>
      <w:r w:rsidRPr="00A86354" w:rsidR="00096324">
        <w:rPr>
          <w:rFonts w:cs="Arial"/>
          <w:lang w:val="fr-FR"/>
        </w:rPr>
        <w:t>sent</w:t>
      </w:r>
      <w:r w:rsidRPr="00A86354">
        <w:rPr>
          <w:rFonts w:cs="Arial"/>
          <w:lang w:val="fr-FR"/>
        </w:rPr>
        <w:t>er un agenda d</w:t>
      </w:r>
      <w:r w:rsidRPr="00A86354" w:rsidR="0006032C">
        <w:rPr>
          <w:rFonts w:cs="Arial"/>
          <w:lang w:val="fr-FR"/>
        </w:rPr>
        <w:t>’</w:t>
      </w:r>
      <w:r w:rsidRPr="00A86354" w:rsidR="00096324">
        <w:rPr>
          <w:rFonts w:cs="Arial"/>
          <w:lang w:val="fr-FR"/>
        </w:rPr>
        <w:t>accessibilit</w:t>
      </w:r>
      <w:r w:rsidRPr="00A86354">
        <w:rPr>
          <w:rFonts w:cs="Arial"/>
          <w:lang w:val="fr-FR"/>
        </w:rPr>
        <w:t xml:space="preserve">é programmée </w:t>
      </w:r>
      <w:r w:rsidRPr="00A86354" w:rsidR="00C42FC9">
        <w:rPr>
          <w:rFonts w:cs="Arial"/>
          <w:lang w:val="fr-FR"/>
        </w:rPr>
        <w:t>(</w:t>
      </w:r>
      <w:r w:rsidRPr="00A86354" w:rsidR="000807D5">
        <w:rPr>
          <w:rFonts w:cs="Arial"/>
          <w:lang w:val="fr-FR"/>
        </w:rPr>
        <w:t>« </w:t>
      </w:r>
      <w:r w:rsidRPr="00A86354" w:rsidR="00C42FC9">
        <w:rPr>
          <w:rFonts w:cs="Arial"/>
          <w:lang w:val="fr-FR"/>
        </w:rPr>
        <w:t>Ad</w:t>
      </w:r>
      <w:r w:rsidRPr="00A86354" w:rsidR="0006032C">
        <w:rPr>
          <w:rFonts w:cs="Arial"/>
          <w:lang w:val="fr-FR"/>
        </w:rPr>
        <w:t>’</w:t>
      </w:r>
      <w:r w:rsidRPr="00A86354" w:rsidR="00C42FC9">
        <w:rPr>
          <w:rFonts w:cs="Arial"/>
          <w:lang w:val="fr-FR"/>
        </w:rPr>
        <w:t>AP</w:t>
      </w:r>
      <w:r w:rsidRPr="00A86354" w:rsidR="000807D5">
        <w:rPr>
          <w:rFonts w:cs="Arial"/>
          <w:lang w:val="fr-FR"/>
        </w:rPr>
        <w:t> »</w:t>
      </w:r>
      <w:r w:rsidRPr="00A86354" w:rsidR="00C42FC9">
        <w:rPr>
          <w:rFonts w:cs="Arial"/>
          <w:lang w:val="fr-FR"/>
        </w:rPr>
        <w:t>)</w:t>
      </w:r>
      <w:r w:rsidRPr="00A86354" w:rsidR="000807D5">
        <w:rPr>
          <w:rFonts w:cs="Arial"/>
          <w:lang w:val="fr-FR"/>
        </w:rPr>
        <w:t> :</w:t>
      </w:r>
      <w:r w:rsidRPr="00A86354" w:rsidR="00096324">
        <w:rPr>
          <w:rFonts w:cs="Arial"/>
          <w:lang w:val="fr-FR"/>
        </w:rPr>
        <w:t xml:space="preserve">  </w:t>
      </w:r>
    </w:p>
    <w:p w:rsidRPr="00A86354" w:rsidR="005B26F2" w:rsidP="00164744" w:rsidRDefault="005B26F2" w14:paraId="685AAA74" w14:textId="69201BDA">
      <w:pPr>
        <w:rPr>
          <w:rFonts w:ascii="Arial" w:hAnsi="Arial" w:cs="Arial"/>
          <w:lang w:val="fr-FR"/>
        </w:rPr>
      </w:pPr>
    </w:p>
    <w:p w:rsidRPr="00A86354" w:rsidR="00840CBD" w:rsidP="00A86354" w:rsidRDefault="00840CBD" w14:paraId="0FD95889" w14:textId="26AD26F4">
      <w:pPr>
        <w:ind w:left="709"/>
        <w:rPr>
          <w:rFonts w:ascii="Arial" w:hAnsi="Arial" w:cs="Arial"/>
          <w:sz w:val="20"/>
          <w:szCs w:val="20"/>
          <w:lang w:val="fr-FR"/>
        </w:rPr>
      </w:pPr>
      <w:r w:rsidRPr="00A86354">
        <w:rPr>
          <w:rFonts w:ascii="Arial" w:hAnsi="Arial" w:cs="Arial"/>
          <w:sz w:val="20"/>
          <w:szCs w:val="20"/>
          <w:lang w:val="fr-FR"/>
        </w:rPr>
        <w:t>Article 3</w:t>
      </w:r>
    </w:p>
    <w:p w:rsidRPr="00A86354" w:rsidR="00840CBD" w:rsidP="00A86354" w:rsidRDefault="00840CBD" w14:paraId="72B9FE61" w14:textId="77777777">
      <w:pPr>
        <w:ind w:left="709"/>
        <w:rPr>
          <w:rFonts w:ascii="Arial" w:hAnsi="Arial" w:cs="Arial"/>
          <w:sz w:val="20"/>
          <w:szCs w:val="20"/>
          <w:lang w:val="fr-FR"/>
        </w:rPr>
      </w:pPr>
    </w:p>
    <w:p w:rsidRPr="00A86354" w:rsidR="004329BD" w:rsidP="00A86354" w:rsidRDefault="000807D5" w14:paraId="67545C16" w14:textId="53B48191">
      <w:pPr>
        <w:ind w:left="709"/>
        <w:rPr>
          <w:rFonts w:ascii="Arial" w:hAnsi="Arial" w:cs="Arial"/>
          <w:sz w:val="20"/>
          <w:szCs w:val="20"/>
          <w:lang w:val="fr-FR"/>
        </w:rPr>
      </w:pPr>
      <w:r w:rsidRPr="00A86354">
        <w:rPr>
          <w:rFonts w:ascii="Arial" w:hAnsi="Arial" w:cs="Arial"/>
          <w:sz w:val="20"/>
          <w:szCs w:val="20"/>
          <w:lang w:val="fr-FR"/>
        </w:rPr>
        <w:t>« </w:t>
      </w:r>
      <w:r w:rsidRPr="00A86354" w:rsidR="00716094">
        <w:rPr>
          <w:rFonts w:ascii="Arial" w:hAnsi="Arial" w:cs="Arial"/>
          <w:sz w:val="20"/>
          <w:szCs w:val="20"/>
          <w:lang w:val="fr-FR"/>
        </w:rPr>
        <w:t>Le propriétaire ou l</w:t>
      </w:r>
      <w:r w:rsidRPr="00A86354" w:rsidR="0006032C">
        <w:rPr>
          <w:rFonts w:ascii="Arial" w:hAnsi="Arial" w:cs="Arial"/>
          <w:sz w:val="20"/>
          <w:szCs w:val="20"/>
          <w:lang w:val="fr-FR"/>
        </w:rPr>
        <w:t>’</w:t>
      </w:r>
      <w:r w:rsidRPr="00A86354" w:rsidR="00716094">
        <w:rPr>
          <w:rFonts w:ascii="Arial" w:hAnsi="Arial" w:cs="Arial"/>
          <w:sz w:val="20"/>
          <w:szCs w:val="20"/>
          <w:lang w:val="fr-FR"/>
        </w:rPr>
        <w:t>exploitant d</w:t>
      </w:r>
      <w:r w:rsidRPr="00A86354" w:rsidR="0006032C">
        <w:rPr>
          <w:rFonts w:ascii="Arial" w:hAnsi="Arial" w:cs="Arial"/>
          <w:sz w:val="20"/>
          <w:szCs w:val="20"/>
          <w:lang w:val="fr-FR"/>
        </w:rPr>
        <w:t>’</w:t>
      </w:r>
      <w:r w:rsidRPr="00A86354" w:rsidR="00716094">
        <w:rPr>
          <w:rFonts w:ascii="Arial" w:hAnsi="Arial" w:cs="Arial"/>
          <w:sz w:val="20"/>
          <w:szCs w:val="20"/>
          <w:lang w:val="fr-FR"/>
        </w:rPr>
        <w:t>un établissement recevant du public ou d</w:t>
      </w:r>
      <w:r w:rsidRPr="00A86354" w:rsidR="0006032C">
        <w:rPr>
          <w:rFonts w:ascii="Arial" w:hAnsi="Arial" w:cs="Arial"/>
          <w:sz w:val="20"/>
          <w:szCs w:val="20"/>
          <w:lang w:val="fr-FR"/>
        </w:rPr>
        <w:t>’</w:t>
      </w:r>
      <w:r w:rsidRPr="00A86354" w:rsidR="00716094">
        <w:rPr>
          <w:rFonts w:ascii="Arial" w:hAnsi="Arial" w:cs="Arial"/>
          <w:sz w:val="20"/>
          <w:szCs w:val="20"/>
          <w:lang w:val="fr-FR"/>
        </w:rPr>
        <w:t>une installation ouverte au public qui ne répond pas au 31 décembre 2014 aux exigences d</w:t>
      </w:r>
      <w:r w:rsidRPr="00A86354" w:rsidR="0006032C">
        <w:rPr>
          <w:rFonts w:ascii="Arial" w:hAnsi="Arial" w:cs="Arial"/>
          <w:sz w:val="20"/>
          <w:szCs w:val="20"/>
          <w:lang w:val="fr-FR"/>
        </w:rPr>
        <w:t>’</w:t>
      </w:r>
      <w:r w:rsidRPr="00A86354" w:rsidR="00716094">
        <w:rPr>
          <w:rFonts w:ascii="Arial" w:hAnsi="Arial" w:cs="Arial"/>
          <w:sz w:val="20"/>
          <w:szCs w:val="20"/>
          <w:lang w:val="fr-FR"/>
        </w:rPr>
        <w:t>accessibilité définies à l</w:t>
      </w:r>
      <w:r w:rsidRPr="00A86354" w:rsidR="0006032C">
        <w:rPr>
          <w:rFonts w:ascii="Arial" w:hAnsi="Arial" w:cs="Arial"/>
          <w:sz w:val="20"/>
          <w:szCs w:val="20"/>
          <w:lang w:val="fr-FR"/>
        </w:rPr>
        <w:t>’</w:t>
      </w:r>
      <w:r w:rsidRPr="00A86354" w:rsidR="00716094">
        <w:rPr>
          <w:rFonts w:ascii="Arial" w:hAnsi="Arial" w:cs="Arial"/>
          <w:sz w:val="20"/>
          <w:szCs w:val="20"/>
          <w:lang w:val="fr-FR"/>
        </w:rPr>
        <w:t>article L. 111-7-3 élabore un agenda d</w:t>
      </w:r>
      <w:r w:rsidRPr="00A86354" w:rsidR="0006032C">
        <w:rPr>
          <w:rFonts w:ascii="Arial" w:hAnsi="Arial" w:cs="Arial"/>
          <w:sz w:val="20"/>
          <w:szCs w:val="20"/>
          <w:lang w:val="fr-FR"/>
        </w:rPr>
        <w:t>’</w:t>
      </w:r>
      <w:r w:rsidRPr="00A86354" w:rsidR="00716094">
        <w:rPr>
          <w:rFonts w:ascii="Arial" w:hAnsi="Arial" w:cs="Arial"/>
          <w:sz w:val="20"/>
          <w:szCs w:val="20"/>
          <w:lang w:val="fr-FR"/>
        </w:rPr>
        <w:t>accessibilité programmée. Cet agenda comporte une analyse des actions nécessaires pour que l</w:t>
      </w:r>
      <w:r w:rsidRPr="00A86354" w:rsidR="0006032C">
        <w:rPr>
          <w:rFonts w:ascii="Arial" w:hAnsi="Arial" w:cs="Arial"/>
          <w:sz w:val="20"/>
          <w:szCs w:val="20"/>
          <w:lang w:val="fr-FR"/>
        </w:rPr>
        <w:t>’</w:t>
      </w:r>
      <w:r w:rsidRPr="00A86354" w:rsidR="00716094">
        <w:rPr>
          <w:rFonts w:ascii="Arial" w:hAnsi="Arial" w:cs="Arial"/>
          <w:sz w:val="20"/>
          <w:szCs w:val="20"/>
          <w:lang w:val="fr-FR"/>
        </w:rPr>
        <w:t>établissement réponde à ces exigences et prévoit le programme et le calendrier des travaux ainsi que les financements correspondants</w:t>
      </w:r>
      <w:r w:rsidRPr="00A86354" w:rsidR="00D80578">
        <w:rPr>
          <w:rFonts w:ascii="Arial" w:hAnsi="Arial" w:cs="Arial"/>
          <w:sz w:val="20"/>
          <w:szCs w:val="20"/>
          <w:lang w:val="fr-FR"/>
        </w:rPr>
        <w:t>.</w:t>
      </w:r>
    </w:p>
    <w:p w:rsidRPr="00A86354" w:rsidR="00D80578" w:rsidP="00A86354" w:rsidRDefault="00D80578" w14:paraId="58C3AE73" w14:textId="66084BEA">
      <w:pPr>
        <w:ind w:left="709"/>
        <w:rPr>
          <w:rFonts w:ascii="Arial" w:hAnsi="Arial" w:cs="Arial"/>
          <w:sz w:val="20"/>
          <w:szCs w:val="20"/>
          <w:lang w:val="fr-FR"/>
        </w:rPr>
      </w:pPr>
    </w:p>
    <w:p w:rsidRPr="00A86354" w:rsidR="00096324" w:rsidP="00A86354" w:rsidRDefault="00D14C7E" w14:paraId="69B71485" w14:textId="5773E6A8">
      <w:pPr>
        <w:ind w:left="709"/>
        <w:rPr>
          <w:rFonts w:ascii="Arial" w:hAnsi="Arial" w:cs="Arial"/>
          <w:sz w:val="20"/>
          <w:szCs w:val="20"/>
          <w:lang w:val="fr-FR"/>
        </w:rPr>
      </w:pPr>
      <w:r w:rsidRPr="00A86354">
        <w:rPr>
          <w:rFonts w:ascii="Arial" w:hAnsi="Arial" w:cs="Arial"/>
          <w:sz w:val="20"/>
          <w:szCs w:val="20"/>
          <w:lang w:val="fr-FR"/>
        </w:rPr>
        <w:t>Le projet d</w:t>
      </w:r>
      <w:r w:rsidRPr="00A86354" w:rsidR="0006032C">
        <w:rPr>
          <w:rFonts w:ascii="Arial" w:hAnsi="Arial" w:cs="Arial"/>
          <w:sz w:val="20"/>
          <w:szCs w:val="20"/>
          <w:lang w:val="fr-FR"/>
        </w:rPr>
        <w:t>’</w:t>
      </w:r>
      <w:r w:rsidRPr="00A86354">
        <w:rPr>
          <w:rFonts w:ascii="Arial" w:hAnsi="Arial" w:cs="Arial"/>
          <w:sz w:val="20"/>
          <w:szCs w:val="20"/>
          <w:lang w:val="fr-FR"/>
        </w:rPr>
        <w:t>agenda d</w:t>
      </w:r>
      <w:r w:rsidRPr="00A86354" w:rsidR="0006032C">
        <w:rPr>
          <w:rFonts w:ascii="Arial" w:hAnsi="Arial" w:cs="Arial"/>
          <w:sz w:val="20"/>
          <w:szCs w:val="20"/>
          <w:lang w:val="fr-FR"/>
        </w:rPr>
        <w:t>’</w:t>
      </w:r>
      <w:r w:rsidRPr="00A86354">
        <w:rPr>
          <w:rFonts w:ascii="Arial" w:hAnsi="Arial" w:cs="Arial"/>
          <w:sz w:val="20"/>
          <w:szCs w:val="20"/>
          <w:lang w:val="fr-FR"/>
        </w:rPr>
        <w:t>accessibilité programmée doit être déposé dans les douze mois suivant la publication de l</w:t>
      </w:r>
      <w:r w:rsidRPr="00A86354" w:rsidR="0006032C">
        <w:rPr>
          <w:rFonts w:ascii="Arial" w:hAnsi="Arial" w:cs="Arial"/>
          <w:sz w:val="20"/>
          <w:szCs w:val="20"/>
          <w:lang w:val="fr-FR"/>
        </w:rPr>
        <w:t>’</w:t>
      </w:r>
      <w:r w:rsidRPr="00A86354">
        <w:rPr>
          <w:rFonts w:ascii="Arial" w:hAnsi="Arial" w:cs="Arial"/>
          <w:sz w:val="20"/>
          <w:szCs w:val="20"/>
          <w:lang w:val="fr-FR"/>
        </w:rPr>
        <w:t>ordonnance n° 2014-1090 du 26 septembre 2014.</w:t>
      </w:r>
      <w:r w:rsidRPr="00A86354" w:rsidR="00096324">
        <w:rPr>
          <w:rFonts w:ascii="Arial" w:hAnsi="Arial" w:cs="Arial"/>
          <w:sz w:val="20"/>
          <w:szCs w:val="20"/>
          <w:lang w:val="fr-FR"/>
        </w:rPr>
        <w:t xml:space="preserve"> </w:t>
      </w:r>
    </w:p>
    <w:p w:rsidRPr="00A86354" w:rsidR="00096324" w:rsidP="00A86354" w:rsidRDefault="00096324" w14:paraId="1FD0E295" w14:textId="77777777">
      <w:pPr>
        <w:ind w:left="709"/>
        <w:rPr>
          <w:rFonts w:ascii="Arial" w:hAnsi="Arial" w:cs="Arial"/>
          <w:sz w:val="20"/>
          <w:szCs w:val="20"/>
          <w:lang w:val="fr-FR"/>
        </w:rPr>
      </w:pPr>
    </w:p>
    <w:p w:rsidRPr="00A86354" w:rsidR="00096324" w:rsidP="00A86354" w:rsidRDefault="00D14C7E" w14:paraId="626BB093" w14:textId="04020A50">
      <w:pPr>
        <w:ind w:left="709"/>
        <w:rPr>
          <w:rFonts w:ascii="Arial" w:hAnsi="Arial" w:cs="Arial"/>
          <w:sz w:val="20"/>
          <w:szCs w:val="20"/>
          <w:lang w:val="fr-FR"/>
        </w:rPr>
      </w:pPr>
      <w:r w:rsidRPr="00A86354">
        <w:rPr>
          <w:rFonts w:ascii="Arial" w:hAnsi="Arial" w:cs="Arial"/>
          <w:sz w:val="20"/>
          <w:szCs w:val="20"/>
          <w:lang w:val="fr-FR"/>
        </w:rPr>
        <w:t>Ce délai peut être prorogé pour une durée maximale de trois ans dans le cas où les difficultés techniques ou financières liées à l</w:t>
      </w:r>
      <w:r w:rsidRPr="00A86354" w:rsidR="0006032C">
        <w:rPr>
          <w:rFonts w:ascii="Arial" w:hAnsi="Arial" w:cs="Arial"/>
          <w:sz w:val="20"/>
          <w:szCs w:val="20"/>
          <w:lang w:val="fr-FR"/>
        </w:rPr>
        <w:t>’</w:t>
      </w:r>
      <w:r w:rsidRPr="00A86354">
        <w:rPr>
          <w:rFonts w:ascii="Arial" w:hAnsi="Arial" w:cs="Arial"/>
          <w:sz w:val="20"/>
          <w:szCs w:val="20"/>
          <w:lang w:val="fr-FR"/>
        </w:rPr>
        <w:t>évaluation ou à la programmation des travaux l</w:t>
      </w:r>
      <w:r w:rsidRPr="00A86354" w:rsidR="0006032C">
        <w:rPr>
          <w:rFonts w:ascii="Arial" w:hAnsi="Arial" w:cs="Arial"/>
          <w:sz w:val="20"/>
          <w:szCs w:val="20"/>
          <w:lang w:val="fr-FR"/>
        </w:rPr>
        <w:t>’</w:t>
      </w:r>
      <w:r w:rsidRPr="00A86354">
        <w:rPr>
          <w:rFonts w:ascii="Arial" w:hAnsi="Arial" w:cs="Arial"/>
          <w:sz w:val="20"/>
          <w:szCs w:val="20"/>
          <w:lang w:val="fr-FR"/>
        </w:rPr>
        <w:t>imposent ou en cas de rejet d</w:t>
      </w:r>
      <w:r w:rsidRPr="00A86354" w:rsidR="0006032C">
        <w:rPr>
          <w:rFonts w:ascii="Arial" w:hAnsi="Arial" w:cs="Arial"/>
          <w:sz w:val="20"/>
          <w:szCs w:val="20"/>
          <w:lang w:val="fr-FR"/>
        </w:rPr>
        <w:t>’</w:t>
      </w:r>
      <w:r w:rsidRPr="00A86354">
        <w:rPr>
          <w:rFonts w:ascii="Arial" w:hAnsi="Arial" w:cs="Arial"/>
          <w:sz w:val="20"/>
          <w:szCs w:val="20"/>
          <w:lang w:val="fr-FR"/>
        </w:rPr>
        <w:t>un premier agenda.</w:t>
      </w:r>
    </w:p>
    <w:p w:rsidRPr="00A86354" w:rsidR="00096324" w:rsidP="00A86354" w:rsidRDefault="00096324" w14:paraId="3FDDD892" w14:textId="270D9E73">
      <w:pPr>
        <w:ind w:left="709"/>
        <w:rPr>
          <w:rFonts w:ascii="Arial" w:hAnsi="Arial" w:cs="Arial"/>
          <w:sz w:val="20"/>
          <w:szCs w:val="20"/>
          <w:lang w:val="fr-FR"/>
        </w:rPr>
      </w:pPr>
    </w:p>
    <w:p w:rsidRPr="00A86354" w:rsidR="00096324" w:rsidP="00A86354" w:rsidRDefault="002C5D46" w14:paraId="31BE8E0D" w14:textId="7AADFA1B">
      <w:pPr>
        <w:ind w:left="709"/>
        <w:rPr>
          <w:rFonts w:ascii="Arial" w:hAnsi="Arial" w:cs="Arial"/>
          <w:sz w:val="20"/>
          <w:szCs w:val="20"/>
          <w:lang w:val="fr-FR"/>
        </w:rPr>
      </w:pPr>
      <w:r w:rsidRPr="00A86354">
        <w:rPr>
          <w:rFonts w:ascii="Arial" w:hAnsi="Arial" w:cs="Arial"/>
          <w:sz w:val="20"/>
          <w:szCs w:val="20"/>
          <w:lang w:val="fr-FR"/>
        </w:rPr>
        <w:t>[...]</w:t>
      </w:r>
    </w:p>
    <w:p w:rsidRPr="00A86354" w:rsidR="00840CBD" w:rsidP="00A86354" w:rsidRDefault="00840CBD" w14:paraId="5DE3E2F5" w14:textId="0A86C96B">
      <w:pPr>
        <w:ind w:left="709"/>
        <w:rPr>
          <w:rFonts w:ascii="Arial" w:hAnsi="Arial" w:cs="Arial"/>
          <w:sz w:val="20"/>
          <w:szCs w:val="20"/>
          <w:lang w:val="fr-FR"/>
        </w:rPr>
      </w:pPr>
    </w:p>
    <w:p w:rsidRPr="00A86354" w:rsidR="00840CBD" w:rsidP="00A86354" w:rsidRDefault="00D14C7E" w14:paraId="6FE9BD5F" w14:textId="7715406A">
      <w:pPr>
        <w:ind w:left="709"/>
        <w:rPr>
          <w:rFonts w:ascii="Arial" w:hAnsi="Arial" w:cs="Arial"/>
          <w:sz w:val="20"/>
          <w:szCs w:val="20"/>
          <w:lang w:val="fr-FR"/>
        </w:rPr>
      </w:pPr>
      <w:r w:rsidRPr="00A86354">
        <w:rPr>
          <w:rFonts w:ascii="Arial" w:hAnsi="Arial" w:cs="Arial"/>
          <w:sz w:val="20"/>
          <w:szCs w:val="20"/>
          <w:lang w:val="fr-FR"/>
        </w:rPr>
        <w:t>L</w:t>
      </w:r>
      <w:r w:rsidRPr="00A86354" w:rsidR="0006032C">
        <w:rPr>
          <w:rFonts w:ascii="Arial" w:hAnsi="Arial" w:cs="Arial"/>
          <w:sz w:val="20"/>
          <w:szCs w:val="20"/>
          <w:lang w:val="fr-FR"/>
        </w:rPr>
        <w:t>’</w:t>
      </w:r>
      <w:r w:rsidRPr="00A86354">
        <w:rPr>
          <w:rFonts w:ascii="Arial" w:hAnsi="Arial" w:cs="Arial"/>
          <w:sz w:val="20"/>
          <w:szCs w:val="20"/>
          <w:lang w:val="fr-FR"/>
        </w:rPr>
        <w:t>absence, non justifiée, de dépôt du projet d</w:t>
      </w:r>
      <w:r w:rsidRPr="00A86354" w:rsidR="0006032C">
        <w:rPr>
          <w:rFonts w:ascii="Arial" w:hAnsi="Arial" w:cs="Arial"/>
          <w:sz w:val="20"/>
          <w:szCs w:val="20"/>
          <w:lang w:val="fr-FR"/>
        </w:rPr>
        <w:t>’</w:t>
      </w:r>
      <w:r w:rsidRPr="00A86354">
        <w:rPr>
          <w:rFonts w:ascii="Arial" w:hAnsi="Arial" w:cs="Arial"/>
          <w:sz w:val="20"/>
          <w:szCs w:val="20"/>
          <w:lang w:val="fr-FR"/>
        </w:rPr>
        <w:t>agenda d</w:t>
      </w:r>
      <w:r w:rsidRPr="00A86354" w:rsidR="0006032C">
        <w:rPr>
          <w:rFonts w:ascii="Arial" w:hAnsi="Arial" w:cs="Arial"/>
          <w:sz w:val="20"/>
          <w:szCs w:val="20"/>
          <w:lang w:val="fr-FR"/>
        </w:rPr>
        <w:t>’</w:t>
      </w:r>
      <w:r w:rsidRPr="00A86354">
        <w:rPr>
          <w:rFonts w:ascii="Arial" w:hAnsi="Arial" w:cs="Arial"/>
          <w:sz w:val="20"/>
          <w:szCs w:val="20"/>
          <w:lang w:val="fr-FR"/>
        </w:rPr>
        <w:t xml:space="preserve">accessibilité programmée dans les délais prévus </w:t>
      </w:r>
      <w:r w:rsidRPr="00A86354" w:rsidR="002C5D46">
        <w:rPr>
          <w:rFonts w:ascii="Arial" w:hAnsi="Arial" w:cs="Arial"/>
          <w:sz w:val="20"/>
          <w:szCs w:val="20"/>
          <w:lang w:val="fr-FR"/>
        </w:rPr>
        <w:t>[...]</w:t>
      </w:r>
      <w:r w:rsidRPr="00A86354">
        <w:rPr>
          <w:rFonts w:ascii="Arial" w:hAnsi="Arial" w:cs="Arial"/>
          <w:sz w:val="20"/>
          <w:szCs w:val="20"/>
          <w:lang w:val="fr-FR"/>
        </w:rPr>
        <w:t xml:space="preserve"> est sanctionnée par une sanction pécuniaire forfaitaire de 1 500 </w:t>
      </w:r>
      <w:r w:rsidRPr="00A86354" w:rsidR="003C431F">
        <w:rPr>
          <w:rFonts w:ascii="Arial" w:hAnsi="Arial" w:cs="Arial"/>
          <w:sz w:val="20"/>
          <w:szCs w:val="20"/>
          <w:lang w:val="fr-FR"/>
        </w:rPr>
        <w:t>EUR</w:t>
      </w:r>
      <w:r w:rsidRPr="00A86354">
        <w:rPr>
          <w:rFonts w:ascii="Arial" w:hAnsi="Arial" w:cs="Arial"/>
          <w:sz w:val="20"/>
          <w:szCs w:val="20"/>
          <w:lang w:val="fr-FR"/>
        </w:rPr>
        <w:t xml:space="preserve"> quand l</w:t>
      </w:r>
      <w:r w:rsidRPr="00A86354" w:rsidR="0006032C">
        <w:rPr>
          <w:rFonts w:ascii="Arial" w:hAnsi="Arial" w:cs="Arial"/>
          <w:sz w:val="20"/>
          <w:szCs w:val="20"/>
          <w:lang w:val="fr-FR"/>
        </w:rPr>
        <w:t>’</w:t>
      </w:r>
      <w:r w:rsidRPr="00A86354">
        <w:rPr>
          <w:rFonts w:ascii="Arial" w:hAnsi="Arial" w:cs="Arial"/>
          <w:sz w:val="20"/>
          <w:szCs w:val="20"/>
          <w:lang w:val="fr-FR"/>
        </w:rPr>
        <w:t>agenda porte sur un seul établissement dont l</w:t>
      </w:r>
      <w:r w:rsidRPr="00A86354" w:rsidR="0006032C">
        <w:rPr>
          <w:rFonts w:ascii="Arial" w:hAnsi="Arial" w:cs="Arial"/>
          <w:sz w:val="20"/>
          <w:szCs w:val="20"/>
          <w:lang w:val="fr-FR"/>
        </w:rPr>
        <w:t>’</w:t>
      </w:r>
      <w:r w:rsidRPr="00A86354">
        <w:rPr>
          <w:rFonts w:ascii="Arial" w:hAnsi="Arial" w:cs="Arial"/>
          <w:sz w:val="20"/>
          <w:szCs w:val="20"/>
          <w:lang w:val="fr-FR"/>
        </w:rPr>
        <w:t>effectif du public est inférieur au seuil mentionné au II de l</w:t>
      </w:r>
      <w:r w:rsidRPr="00A86354" w:rsidR="0006032C">
        <w:rPr>
          <w:rFonts w:ascii="Arial" w:hAnsi="Arial" w:cs="Arial"/>
          <w:sz w:val="20"/>
          <w:szCs w:val="20"/>
          <w:lang w:val="fr-FR"/>
        </w:rPr>
        <w:t>’</w:t>
      </w:r>
      <w:r w:rsidRPr="00A86354">
        <w:rPr>
          <w:rFonts w:ascii="Arial" w:hAnsi="Arial" w:cs="Arial"/>
          <w:sz w:val="20"/>
          <w:szCs w:val="20"/>
          <w:lang w:val="fr-FR"/>
        </w:rPr>
        <w:t xml:space="preserve">article L. 111-7-7 et de 5 000 </w:t>
      </w:r>
      <w:r w:rsidRPr="00A86354" w:rsidR="003C431F">
        <w:rPr>
          <w:rFonts w:ascii="Arial" w:hAnsi="Arial" w:cs="Arial"/>
          <w:sz w:val="20"/>
          <w:szCs w:val="20"/>
          <w:lang w:val="fr-FR"/>
        </w:rPr>
        <w:t>EUR</w:t>
      </w:r>
      <w:r w:rsidRPr="00A86354">
        <w:rPr>
          <w:rFonts w:ascii="Arial" w:hAnsi="Arial" w:cs="Arial"/>
          <w:sz w:val="20"/>
          <w:szCs w:val="20"/>
          <w:lang w:val="fr-FR"/>
        </w:rPr>
        <w:t xml:space="preserve"> dans les autres cas.</w:t>
      </w:r>
      <w:r w:rsidRPr="00A86354" w:rsidR="00840CBD">
        <w:rPr>
          <w:rFonts w:ascii="Arial" w:hAnsi="Arial" w:cs="Arial"/>
          <w:sz w:val="20"/>
          <w:szCs w:val="20"/>
          <w:lang w:val="fr-FR"/>
        </w:rPr>
        <w:t xml:space="preserve"> </w:t>
      </w:r>
    </w:p>
    <w:p w:rsidRPr="00A86354" w:rsidR="00EF105C" w:rsidP="00CE016A" w:rsidRDefault="00D14C7E" w14:paraId="28176E79" w14:textId="0C1C310F">
      <w:pPr>
        <w:pStyle w:val="ListParagraph"/>
        <w:numPr>
          <w:ilvl w:val="0"/>
          <w:numId w:val="1"/>
        </w:numPr>
        <w:ind w:left="0" w:firstLine="0"/>
        <w:rPr>
          <w:rFonts w:cs="Arial"/>
          <w:lang w:val="fr-FR"/>
        </w:rPr>
      </w:pPr>
      <w:r w:rsidRPr="00A86354">
        <w:rPr>
          <w:rFonts w:cs="Arial"/>
          <w:lang w:val="fr-FR"/>
        </w:rPr>
        <w:lastRenderedPageBreak/>
        <w:t>La loi n°</w:t>
      </w:r>
      <w:r w:rsidRPr="00A86354" w:rsidR="00EF105C">
        <w:rPr>
          <w:rFonts w:cs="Arial"/>
          <w:lang w:val="fr-FR"/>
        </w:rPr>
        <w:t xml:space="preserve"> 2018-1021 </w:t>
      </w:r>
      <w:r w:rsidRPr="00A86354">
        <w:rPr>
          <w:rFonts w:cs="Arial"/>
          <w:lang w:val="fr-FR"/>
        </w:rPr>
        <w:t>du</w:t>
      </w:r>
      <w:r w:rsidRPr="00A86354" w:rsidR="00EF105C">
        <w:rPr>
          <w:rFonts w:cs="Arial"/>
          <w:lang w:val="fr-FR"/>
        </w:rPr>
        <w:t xml:space="preserve"> 23 </w:t>
      </w:r>
      <w:r w:rsidRPr="00A86354">
        <w:rPr>
          <w:rFonts w:cs="Arial"/>
          <w:lang w:val="fr-FR"/>
        </w:rPr>
        <w:t>novembre</w:t>
      </w:r>
      <w:r w:rsidRPr="00A86354" w:rsidR="00EF105C">
        <w:rPr>
          <w:rFonts w:cs="Arial"/>
          <w:lang w:val="fr-FR"/>
        </w:rPr>
        <w:t xml:space="preserve"> 2018 </w:t>
      </w:r>
      <w:r w:rsidRPr="00A86354">
        <w:rPr>
          <w:rFonts w:cs="Arial"/>
          <w:lang w:val="fr-FR"/>
        </w:rPr>
        <w:t>portant évolution du logement, de l</w:t>
      </w:r>
      <w:r w:rsidRPr="00A86354" w:rsidR="0006032C">
        <w:rPr>
          <w:rFonts w:cs="Arial"/>
          <w:lang w:val="fr-FR"/>
        </w:rPr>
        <w:t>’</w:t>
      </w:r>
      <w:r w:rsidRPr="00A86354">
        <w:rPr>
          <w:rFonts w:cs="Arial"/>
          <w:lang w:val="fr-FR"/>
        </w:rPr>
        <w:t>aménagement et du numérique </w:t>
      </w:r>
      <w:r w:rsidRPr="00A86354" w:rsidR="00B65B3B">
        <w:rPr>
          <w:rFonts w:cs="Arial"/>
          <w:lang w:val="fr-FR"/>
        </w:rPr>
        <w:t>(</w:t>
      </w:r>
      <w:r w:rsidRPr="00A86354">
        <w:rPr>
          <w:rFonts w:cs="Arial"/>
          <w:lang w:val="fr-FR"/>
        </w:rPr>
        <w:t xml:space="preserve">dite loi </w:t>
      </w:r>
      <w:r w:rsidRPr="00A86354" w:rsidR="00B65B3B">
        <w:rPr>
          <w:rFonts w:cs="Arial"/>
          <w:lang w:val="fr-FR"/>
        </w:rPr>
        <w:t xml:space="preserve">ELAN) </w:t>
      </w:r>
      <w:r w:rsidRPr="00A86354" w:rsidR="00581010">
        <w:rPr>
          <w:rFonts w:cs="Arial"/>
          <w:lang w:val="fr-FR"/>
        </w:rPr>
        <w:t>apporte de nouvelles modifications à l</w:t>
      </w:r>
      <w:r w:rsidRPr="00A86354" w:rsidR="0006032C">
        <w:rPr>
          <w:rFonts w:cs="Arial"/>
          <w:lang w:val="fr-FR"/>
        </w:rPr>
        <w:t>’</w:t>
      </w:r>
      <w:r w:rsidRPr="00A86354" w:rsidR="00581010">
        <w:rPr>
          <w:rFonts w:cs="Arial"/>
          <w:lang w:val="fr-FR"/>
        </w:rPr>
        <w:t>a</w:t>
      </w:r>
      <w:r w:rsidRPr="00A86354" w:rsidR="00B65B3B">
        <w:rPr>
          <w:rFonts w:cs="Arial"/>
          <w:lang w:val="fr-FR"/>
        </w:rPr>
        <w:t xml:space="preserve">rticle L. 111-7 </w:t>
      </w:r>
      <w:r w:rsidRPr="00A86354" w:rsidR="00581010">
        <w:rPr>
          <w:rFonts w:cs="Arial"/>
          <w:lang w:val="fr-FR"/>
        </w:rPr>
        <w:t>du code de la</w:t>
      </w:r>
      <w:r w:rsidRPr="00A86354" w:rsidR="00B65B3B">
        <w:rPr>
          <w:rFonts w:cs="Arial"/>
          <w:lang w:val="fr-FR"/>
        </w:rPr>
        <w:t xml:space="preserve"> construction </w:t>
      </w:r>
      <w:r w:rsidRPr="00A86354" w:rsidR="00581010">
        <w:rPr>
          <w:rFonts w:cs="Arial"/>
          <w:lang w:val="fr-FR"/>
        </w:rPr>
        <w:t>et de l</w:t>
      </w:r>
      <w:r w:rsidRPr="00A86354" w:rsidR="0006032C">
        <w:rPr>
          <w:rFonts w:cs="Arial"/>
          <w:lang w:val="fr-FR"/>
        </w:rPr>
        <w:t>’</w:t>
      </w:r>
      <w:r w:rsidRPr="00A86354" w:rsidR="00581010">
        <w:rPr>
          <w:rFonts w:cs="Arial"/>
          <w:lang w:val="fr-FR"/>
        </w:rPr>
        <w:t>habitation</w:t>
      </w:r>
      <w:r w:rsidRPr="00A86354" w:rsidR="00B65B3B">
        <w:rPr>
          <w:rFonts w:cs="Arial"/>
          <w:lang w:val="fr-FR"/>
        </w:rPr>
        <w:t xml:space="preserve"> concern</w:t>
      </w:r>
      <w:r w:rsidRPr="00A86354" w:rsidR="00581010">
        <w:rPr>
          <w:rFonts w:cs="Arial"/>
          <w:lang w:val="fr-FR"/>
        </w:rPr>
        <w:t>ant l</w:t>
      </w:r>
      <w:r w:rsidRPr="00A86354" w:rsidR="0006032C">
        <w:rPr>
          <w:rFonts w:cs="Arial"/>
          <w:lang w:val="fr-FR"/>
        </w:rPr>
        <w:t>’</w:t>
      </w:r>
      <w:r w:rsidRPr="00A86354" w:rsidR="00B65B3B">
        <w:rPr>
          <w:rFonts w:cs="Arial"/>
          <w:lang w:val="fr-FR"/>
        </w:rPr>
        <w:t>accessibilit</w:t>
      </w:r>
      <w:r w:rsidRPr="00A86354" w:rsidR="00581010">
        <w:rPr>
          <w:rFonts w:cs="Arial"/>
          <w:lang w:val="fr-FR"/>
        </w:rPr>
        <w:t>é</w:t>
      </w:r>
      <w:r w:rsidRPr="00A86354" w:rsidR="00B65B3B">
        <w:rPr>
          <w:rFonts w:cs="Arial"/>
          <w:lang w:val="fr-FR"/>
        </w:rPr>
        <w:t xml:space="preserve"> </w:t>
      </w:r>
      <w:r w:rsidRPr="00A86354" w:rsidR="00581010">
        <w:rPr>
          <w:rFonts w:cs="Arial"/>
          <w:lang w:val="fr-FR"/>
        </w:rPr>
        <w:t>des logements</w:t>
      </w:r>
      <w:r w:rsidRPr="00A86354" w:rsidR="000807D5">
        <w:rPr>
          <w:rFonts w:cs="Arial"/>
          <w:lang w:val="fr-FR"/>
        </w:rPr>
        <w:t> :</w:t>
      </w:r>
      <w:r w:rsidRPr="00A86354" w:rsidR="00B65B3B">
        <w:rPr>
          <w:rFonts w:cs="Arial"/>
          <w:lang w:val="fr-FR"/>
        </w:rPr>
        <w:t xml:space="preserve">  </w:t>
      </w:r>
    </w:p>
    <w:p w:rsidRPr="00A86354" w:rsidR="00EF105C" w:rsidP="00B65B3B" w:rsidRDefault="00EF105C" w14:paraId="666C9ABD" w14:textId="6F792876">
      <w:pPr>
        <w:rPr>
          <w:rFonts w:ascii="Arial" w:hAnsi="Arial" w:cs="Arial"/>
          <w:sz w:val="20"/>
          <w:szCs w:val="20"/>
          <w:lang w:val="fr-FR"/>
        </w:rPr>
      </w:pPr>
    </w:p>
    <w:p w:rsidRPr="00A86354" w:rsidR="00B65B3B" w:rsidP="00A86354" w:rsidRDefault="00B65B3B" w14:paraId="0F05008D" w14:textId="04AA14A9">
      <w:pPr>
        <w:ind w:left="709"/>
        <w:rPr>
          <w:rFonts w:ascii="Arial" w:hAnsi="Arial" w:cs="Arial"/>
          <w:sz w:val="20"/>
          <w:szCs w:val="20"/>
          <w:lang w:val="fr-FR"/>
        </w:rPr>
      </w:pPr>
      <w:r w:rsidRPr="00A86354">
        <w:rPr>
          <w:rFonts w:ascii="Arial" w:hAnsi="Arial" w:cs="Arial"/>
          <w:sz w:val="20"/>
          <w:szCs w:val="20"/>
          <w:lang w:val="fr-FR"/>
        </w:rPr>
        <w:t>Article 64</w:t>
      </w:r>
    </w:p>
    <w:p w:rsidRPr="00A86354" w:rsidR="00B65B3B" w:rsidP="00A86354" w:rsidRDefault="00B65B3B" w14:paraId="4DF2CEB4" w14:textId="77777777">
      <w:pPr>
        <w:ind w:left="709"/>
        <w:rPr>
          <w:rFonts w:ascii="Arial" w:hAnsi="Arial" w:cs="Arial"/>
          <w:sz w:val="20"/>
          <w:szCs w:val="20"/>
          <w:lang w:val="fr-FR"/>
        </w:rPr>
      </w:pPr>
    </w:p>
    <w:p w:rsidRPr="00A86354" w:rsidR="00B65B3B" w:rsidP="00A86354" w:rsidRDefault="000807D5" w14:paraId="76F0B30B" w14:textId="7B60FEFA">
      <w:pPr>
        <w:ind w:left="709"/>
        <w:rPr>
          <w:rFonts w:ascii="Arial" w:hAnsi="Arial" w:cs="Arial"/>
          <w:sz w:val="20"/>
          <w:szCs w:val="20"/>
          <w:lang w:val="fr-FR"/>
        </w:rPr>
      </w:pPr>
      <w:r w:rsidRPr="00A86354">
        <w:rPr>
          <w:rFonts w:ascii="Arial" w:hAnsi="Arial" w:cs="Arial"/>
          <w:sz w:val="20"/>
          <w:szCs w:val="20"/>
          <w:lang w:val="fr-FR"/>
        </w:rPr>
        <w:t>« </w:t>
      </w:r>
      <w:r w:rsidRPr="00A86354" w:rsidR="00B65B3B">
        <w:rPr>
          <w:rFonts w:ascii="Arial" w:hAnsi="Arial" w:cs="Arial"/>
          <w:sz w:val="20"/>
          <w:szCs w:val="20"/>
          <w:lang w:val="fr-FR"/>
        </w:rPr>
        <w:t xml:space="preserve">Art. L. 111-7-1 </w:t>
      </w:r>
      <w:r w:rsidRPr="00A86354" w:rsidR="00581010">
        <w:rPr>
          <w:rFonts w:ascii="Arial" w:hAnsi="Arial" w:cs="Arial"/>
          <w:sz w:val="20"/>
          <w:szCs w:val="20"/>
          <w:lang w:val="fr-FR"/>
        </w:rPr>
        <w:t>- Des décrets en Conseil d</w:t>
      </w:r>
      <w:r w:rsidRPr="00A86354" w:rsidR="0006032C">
        <w:rPr>
          <w:rFonts w:ascii="Arial" w:hAnsi="Arial" w:cs="Arial"/>
          <w:sz w:val="20"/>
          <w:szCs w:val="20"/>
          <w:lang w:val="fr-FR"/>
        </w:rPr>
        <w:t>’</w:t>
      </w:r>
      <w:r w:rsidRPr="00A86354" w:rsidR="00581010">
        <w:rPr>
          <w:rFonts w:ascii="Arial" w:hAnsi="Arial" w:cs="Arial"/>
          <w:sz w:val="20"/>
          <w:szCs w:val="20"/>
          <w:lang w:val="fr-FR"/>
        </w:rPr>
        <w:t xml:space="preserve">Etat </w:t>
      </w:r>
      <w:r w:rsidRPr="00A86354" w:rsidR="002C5D46">
        <w:rPr>
          <w:rFonts w:ascii="Arial" w:hAnsi="Arial" w:cs="Arial"/>
          <w:sz w:val="20"/>
          <w:szCs w:val="20"/>
          <w:lang w:val="fr-FR"/>
        </w:rPr>
        <w:t>[...]</w:t>
      </w:r>
      <w:r w:rsidRPr="00A86354" w:rsidR="00581010">
        <w:rPr>
          <w:rFonts w:ascii="Arial" w:hAnsi="Arial" w:cs="Arial"/>
          <w:sz w:val="20"/>
          <w:szCs w:val="20"/>
          <w:lang w:val="fr-FR"/>
        </w:rPr>
        <w:t xml:space="preserve"> fixent les modalités relatives à l</w:t>
      </w:r>
      <w:r w:rsidRPr="00A86354" w:rsidR="0006032C">
        <w:rPr>
          <w:rFonts w:ascii="Arial" w:hAnsi="Arial" w:cs="Arial"/>
          <w:sz w:val="20"/>
          <w:szCs w:val="20"/>
          <w:lang w:val="fr-FR"/>
        </w:rPr>
        <w:t>’</w:t>
      </w:r>
      <w:r w:rsidRPr="00A86354" w:rsidR="00581010">
        <w:rPr>
          <w:rFonts w:ascii="Arial" w:hAnsi="Arial" w:cs="Arial"/>
          <w:sz w:val="20"/>
          <w:szCs w:val="20"/>
          <w:lang w:val="fr-FR"/>
        </w:rPr>
        <w:t xml:space="preserve">accessibilité aux personnes handicapées </w:t>
      </w:r>
      <w:r w:rsidRPr="00A86354" w:rsidR="002C5D46">
        <w:rPr>
          <w:rFonts w:ascii="Arial" w:hAnsi="Arial" w:cs="Arial"/>
          <w:sz w:val="20"/>
          <w:szCs w:val="20"/>
          <w:lang w:val="fr-FR"/>
        </w:rPr>
        <w:t>[...]</w:t>
      </w:r>
      <w:r w:rsidRPr="00A86354" w:rsidR="00581010">
        <w:rPr>
          <w:rFonts w:ascii="Arial" w:hAnsi="Arial" w:cs="Arial"/>
          <w:sz w:val="20"/>
          <w:szCs w:val="20"/>
          <w:lang w:val="fr-FR"/>
        </w:rPr>
        <w:t xml:space="preserve"> que doivent respecter les bâtiments ou parties de bâtiments nouveaux. Ils précisent, en particulier</w:t>
      </w:r>
      <w:r w:rsidRPr="00A86354">
        <w:rPr>
          <w:rFonts w:ascii="Arial" w:hAnsi="Arial" w:cs="Arial"/>
          <w:sz w:val="20"/>
          <w:szCs w:val="20"/>
          <w:lang w:val="fr-FR"/>
        </w:rPr>
        <w:t> :</w:t>
      </w:r>
    </w:p>
    <w:p w:rsidRPr="00A86354" w:rsidR="00B65B3B" w:rsidP="00A86354" w:rsidRDefault="00B65B3B" w14:paraId="51C05063" w14:textId="77777777">
      <w:pPr>
        <w:ind w:left="709"/>
        <w:rPr>
          <w:rFonts w:ascii="Arial" w:hAnsi="Arial" w:cs="Arial"/>
          <w:sz w:val="20"/>
          <w:szCs w:val="20"/>
          <w:lang w:val="fr-FR"/>
        </w:rPr>
      </w:pPr>
    </w:p>
    <w:p w:rsidRPr="00A86354" w:rsidR="00B65B3B" w:rsidP="00A86354" w:rsidRDefault="00581010" w14:paraId="0B119D2B" w14:textId="78D19D4D">
      <w:pPr>
        <w:ind w:left="709"/>
        <w:rPr>
          <w:rFonts w:ascii="Arial" w:hAnsi="Arial" w:cs="Arial"/>
          <w:sz w:val="20"/>
          <w:szCs w:val="20"/>
          <w:lang w:val="fr-FR"/>
        </w:rPr>
      </w:pPr>
      <w:r w:rsidRPr="00A86354">
        <w:rPr>
          <w:rFonts w:ascii="Arial" w:hAnsi="Arial" w:cs="Arial"/>
          <w:sz w:val="20"/>
          <w:szCs w:val="20"/>
          <w:lang w:val="fr-FR"/>
        </w:rPr>
        <w:t>1° Les modalités particulières applicables à la construction de bâtiments d</w:t>
      </w:r>
      <w:r w:rsidRPr="00A86354" w:rsidR="0006032C">
        <w:rPr>
          <w:rFonts w:ascii="Arial" w:hAnsi="Arial" w:cs="Arial"/>
          <w:sz w:val="20"/>
          <w:szCs w:val="20"/>
          <w:lang w:val="fr-FR"/>
        </w:rPr>
        <w:t>’</w:t>
      </w:r>
      <w:r w:rsidRPr="00A86354">
        <w:rPr>
          <w:rFonts w:ascii="Arial" w:hAnsi="Arial" w:cs="Arial"/>
          <w:sz w:val="20"/>
          <w:szCs w:val="20"/>
          <w:lang w:val="fr-FR"/>
        </w:rPr>
        <w:t>habitation collectifs ainsi que les conditions dans lesquelles, en fonction des caractéristiques de ces bâtiments, 20 % de leurs logements, et au moins un logement, sont accessibles tandis que les autres logements sont évolutifs.</w:t>
      </w:r>
    </w:p>
    <w:p w:rsidRPr="00A86354" w:rsidR="00B65B3B" w:rsidP="00A86354" w:rsidRDefault="00B65B3B" w14:paraId="5C3B2BB2" w14:textId="77777777">
      <w:pPr>
        <w:ind w:left="709"/>
        <w:rPr>
          <w:rFonts w:ascii="Arial" w:hAnsi="Arial" w:cs="Arial"/>
          <w:lang w:val="fr-FR"/>
        </w:rPr>
      </w:pPr>
    </w:p>
    <w:p w:rsidRPr="00A86354" w:rsidR="00B65B3B" w:rsidP="00A86354" w:rsidRDefault="00581010" w14:paraId="3DC72AF3" w14:textId="5334C538">
      <w:pPr>
        <w:ind w:left="709"/>
        <w:rPr>
          <w:rFonts w:ascii="Arial" w:hAnsi="Arial" w:cs="Arial"/>
          <w:sz w:val="20"/>
          <w:szCs w:val="20"/>
          <w:lang w:val="fr-FR"/>
        </w:rPr>
      </w:pPr>
      <w:r w:rsidRPr="00A86354">
        <w:rPr>
          <w:rFonts w:ascii="Arial" w:hAnsi="Arial" w:cs="Arial"/>
          <w:sz w:val="20"/>
          <w:szCs w:val="20"/>
          <w:lang w:val="fr-FR"/>
        </w:rPr>
        <w:t>La conception des logements évolutifs doit permettre la redistribution des volumes pour garantir l</w:t>
      </w:r>
      <w:r w:rsidRPr="00A86354" w:rsidR="0006032C">
        <w:rPr>
          <w:rFonts w:ascii="Arial" w:hAnsi="Arial" w:cs="Arial"/>
          <w:sz w:val="20"/>
          <w:szCs w:val="20"/>
          <w:lang w:val="fr-FR"/>
        </w:rPr>
        <w:t>’</w:t>
      </w:r>
      <w:r w:rsidRPr="00A86354">
        <w:rPr>
          <w:rFonts w:ascii="Arial" w:hAnsi="Arial" w:cs="Arial"/>
          <w:sz w:val="20"/>
          <w:szCs w:val="20"/>
          <w:lang w:val="fr-FR"/>
        </w:rPr>
        <w:t>accessibilité ultérieure de l</w:t>
      </w:r>
      <w:r w:rsidRPr="00A86354" w:rsidR="0006032C">
        <w:rPr>
          <w:rFonts w:ascii="Arial" w:hAnsi="Arial" w:cs="Arial"/>
          <w:sz w:val="20"/>
          <w:szCs w:val="20"/>
          <w:lang w:val="fr-FR"/>
        </w:rPr>
        <w:t>’</w:t>
      </w:r>
      <w:r w:rsidRPr="00A86354">
        <w:rPr>
          <w:rFonts w:ascii="Arial" w:hAnsi="Arial" w:cs="Arial"/>
          <w:sz w:val="20"/>
          <w:szCs w:val="20"/>
          <w:lang w:val="fr-FR"/>
        </w:rPr>
        <w:t>unité de vie, à l</w:t>
      </w:r>
      <w:r w:rsidRPr="00A86354" w:rsidR="0006032C">
        <w:rPr>
          <w:rFonts w:ascii="Arial" w:hAnsi="Arial" w:cs="Arial"/>
          <w:sz w:val="20"/>
          <w:szCs w:val="20"/>
          <w:lang w:val="fr-FR"/>
        </w:rPr>
        <w:t>’</w:t>
      </w:r>
      <w:r w:rsidRPr="00A86354">
        <w:rPr>
          <w:rFonts w:ascii="Arial" w:hAnsi="Arial" w:cs="Arial"/>
          <w:sz w:val="20"/>
          <w:szCs w:val="20"/>
          <w:lang w:val="fr-FR"/>
        </w:rPr>
        <w:t>issue de travaux simples. Est considéré comme étant évolutif tout logement dans les bâtiments d</w:t>
      </w:r>
      <w:r w:rsidRPr="00A86354" w:rsidR="0006032C">
        <w:rPr>
          <w:rFonts w:ascii="Arial" w:hAnsi="Arial" w:cs="Arial"/>
          <w:sz w:val="20"/>
          <w:szCs w:val="20"/>
          <w:lang w:val="fr-FR"/>
        </w:rPr>
        <w:t>’</w:t>
      </w:r>
      <w:r w:rsidRPr="00A86354">
        <w:rPr>
          <w:rFonts w:ascii="Arial" w:hAnsi="Arial" w:cs="Arial"/>
          <w:sz w:val="20"/>
          <w:szCs w:val="20"/>
          <w:lang w:val="fr-FR"/>
        </w:rPr>
        <w:t>habitation collectifs répondant aux caractéristiques suivantes</w:t>
      </w:r>
      <w:r w:rsidRPr="00A86354" w:rsidR="000807D5">
        <w:rPr>
          <w:rFonts w:ascii="Arial" w:hAnsi="Arial" w:cs="Arial"/>
          <w:sz w:val="20"/>
          <w:szCs w:val="20"/>
          <w:lang w:val="fr-FR"/>
        </w:rPr>
        <w:t> :</w:t>
      </w:r>
    </w:p>
    <w:p w:rsidRPr="00A86354" w:rsidR="00B65B3B" w:rsidP="00A86354" w:rsidRDefault="00B65B3B" w14:paraId="6C7C6569" w14:textId="77777777">
      <w:pPr>
        <w:ind w:left="709"/>
        <w:rPr>
          <w:rFonts w:ascii="Arial" w:hAnsi="Arial" w:cs="Arial"/>
          <w:sz w:val="20"/>
          <w:szCs w:val="20"/>
          <w:lang w:val="fr-FR"/>
        </w:rPr>
      </w:pPr>
    </w:p>
    <w:p w:rsidRPr="00A86354" w:rsidR="00B65B3B" w:rsidP="00A86354" w:rsidRDefault="00581010" w14:paraId="1CC78C30" w14:textId="485D5683">
      <w:pPr>
        <w:ind w:left="709"/>
        <w:rPr>
          <w:rFonts w:ascii="Arial" w:hAnsi="Arial" w:cs="Arial"/>
          <w:sz w:val="20"/>
          <w:szCs w:val="20"/>
          <w:lang w:val="fr-FR"/>
        </w:rPr>
      </w:pPr>
      <w:r w:rsidRPr="00A86354">
        <w:rPr>
          <w:rFonts w:ascii="Arial" w:hAnsi="Arial" w:cs="Arial"/>
          <w:sz w:val="20"/>
          <w:szCs w:val="20"/>
          <w:lang w:val="fr-FR"/>
        </w:rPr>
        <w:t>a) Une personne en situation de handicap doit pouvoir accéder au logement, se rendre par un cheminement accessible dans le séjour et le cabinet d</w:t>
      </w:r>
      <w:r w:rsidRPr="00A86354" w:rsidR="0006032C">
        <w:rPr>
          <w:rFonts w:ascii="Arial" w:hAnsi="Arial" w:cs="Arial"/>
          <w:sz w:val="20"/>
          <w:szCs w:val="20"/>
          <w:lang w:val="fr-FR"/>
        </w:rPr>
        <w:t>’</w:t>
      </w:r>
      <w:r w:rsidRPr="00A86354">
        <w:rPr>
          <w:rFonts w:ascii="Arial" w:hAnsi="Arial" w:cs="Arial"/>
          <w:sz w:val="20"/>
          <w:szCs w:val="20"/>
          <w:lang w:val="fr-FR"/>
        </w:rPr>
        <w:t>aisance, dont les aménagements et les équipements doivent être accessibles, et en ressortir</w:t>
      </w:r>
      <w:r w:rsidRPr="00A86354" w:rsidR="000807D5">
        <w:rPr>
          <w:rFonts w:ascii="Arial" w:hAnsi="Arial" w:cs="Arial"/>
          <w:sz w:val="20"/>
          <w:szCs w:val="20"/>
          <w:lang w:val="fr-FR"/>
        </w:rPr>
        <w:t> ;</w:t>
      </w:r>
    </w:p>
    <w:p w:rsidRPr="00A86354" w:rsidR="00581010" w:rsidP="00A86354" w:rsidRDefault="00581010" w14:paraId="36E165D4" w14:textId="2E59A6F5">
      <w:pPr>
        <w:ind w:left="709"/>
        <w:rPr>
          <w:rFonts w:ascii="Arial" w:hAnsi="Arial" w:cs="Arial"/>
          <w:sz w:val="20"/>
          <w:szCs w:val="20"/>
          <w:lang w:val="fr-FR"/>
        </w:rPr>
      </w:pPr>
      <w:r w:rsidRPr="00A86354">
        <w:rPr>
          <w:rFonts w:ascii="Arial" w:hAnsi="Arial" w:cs="Arial"/>
          <w:sz w:val="20"/>
          <w:szCs w:val="20"/>
          <w:lang w:val="fr-FR"/>
        </w:rPr>
        <w:t>b) La mise en accessibilité des pièces composant l</w:t>
      </w:r>
      <w:r w:rsidRPr="00A86354" w:rsidR="0006032C">
        <w:rPr>
          <w:rFonts w:ascii="Arial" w:hAnsi="Arial" w:cs="Arial"/>
          <w:sz w:val="20"/>
          <w:szCs w:val="20"/>
          <w:lang w:val="fr-FR"/>
        </w:rPr>
        <w:t>’</w:t>
      </w:r>
      <w:r w:rsidRPr="00A86354">
        <w:rPr>
          <w:rFonts w:ascii="Arial" w:hAnsi="Arial" w:cs="Arial"/>
          <w:sz w:val="20"/>
          <w:szCs w:val="20"/>
          <w:lang w:val="fr-FR"/>
        </w:rPr>
        <w:t>unité de vie du logement est réalisable ultérieurement par des travaux simples</w:t>
      </w:r>
      <w:r w:rsidRPr="00A86354" w:rsidR="000807D5">
        <w:rPr>
          <w:rFonts w:ascii="Arial" w:hAnsi="Arial" w:cs="Arial"/>
          <w:sz w:val="20"/>
          <w:szCs w:val="20"/>
          <w:lang w:val="fr-FR"/>
        </w:rPr>
        <w:t> ; »</w:t>
      </w:r>
    </w:p>
    <w:p w:rsidRPr="00A86354" w:rsidR="0049405D" w:rsidP="00164744" w:rsidRDefault="0049405D" w14:paraId="250EAB1F" w14:textId="77777777">
      <w:pPr>
        <w:rPr>
          <w:rFonts w:ascii="Arial" w:hAnsi="Arial" w:cs="Arial"/>
          <w:lang w:val="fr-FR"/>
        </w:rPr>
      </w:pPr>
    </w:p>
    <w:p w:rsidRPr="00A86354" w:rsidR="00F97CE0" w:rsidP="00CE016A" w:rsidRDefault="00581010" w14:paraId="06638A54" w14:textId="0E0160B4">
      <w:pPr>
        <w:pStyle w:val="ListParagraph"/>
        <w:numPr>
          <w:ilvl w:val="0"/>
          <w:numId w:val="1"/>
        </w:numPr>
        <w:ind w:left="0" w:firstLine="0"/>
        <w:rPr>
          <w:rFonts w:cs="Arial"/>
          <w:lang w:val="fr-FR"/>
        </w:rPr>
      </w:pPr>
      <w:r w:rsidRPr="00A86354">
        <w:rPr>
          <w:rFonts w:cs="Arial"/>
          <w:lang w:val="fr-FR"/>
        </w:rPr>
        <w:t>L</w:t>
      </w:r>
      <w:r w:rsidRPr="00A86354" w:rsidR="0006032C">
        <w:rPr>
          <w:rFonts w:cs="Arial"/>
          <w:lang w:val="fr-FR"/>
        </w:rPr>
        <w:t>’</w:t>
      </w:r>
      <w:r w:rsidRPr="00A86354">
        <w:rPr>
          <w:rFonts w:cs="Arial"/>
          <w:lang w:val="fr-FR"/>
        </w:rPr>
        <w:t>a</w:t>
      </w:r>
      <w:r w:rsidRPr="00A86354" w:rsidR="00F97CE0">
        <w:rPr>
          <w:rFonts w:cs="Arial"/>
          <w:lang w:val="fr-FR"/>
        </w:rPr>
        <w:t xml:space="preserve">rticle 129 </w:t>
      </w:r>
      <w:r w:rsidRPr="00A86354">
        <w:rPr>
          <w:rFonts w:cs="Arial"/>
          <w:lang w:val="fr-FR"/>
        </w:rPr>
        <w:t>de la loi</w:t>
      </w:r>
      <w:r w:rsidRPr="00A86354" w:rsidR="00F97CE0">
        <w:rPr>
          <w:rFonts w:cs="Arial"/>
          <w:lang w:val="fr-FR"/>
        </w:rPr>
        <w:t xml:space="preserve"> ELAN </w:t>
      </w:r>
      <w:r w:rsidRPr="00A86354">
        <w:rPr>
          <w:rFonts w:cs="Arial"/>
          <w:lang w:val="fr-FR"/>
        </w:rPr>
        <w:t>régit l</w:t>
      </w:r>
      <w:r w:rsidRPr="00A86354" w:rsidR="0006032C">
        <w:rPr>
          <w:rFonts w:cs="Arial"/>
          <w:lang w:val="fr-FR"/>
        </w:rPr>
        <w:t>’</w:t>
      </w:r>
      <w:r w:rsidRPr="00A86354" w:rsidR="00900CA0">
        <w:rPr>
          <w:rFonts w:cs="Arial"/>
          <w:lang w:val="fr-FR"/>
        </w:rPr>
        <w:t>« </w:t>
      </w:r>
      <w:r w:rsidRPr="00A86354">
        <w:rPr>
          <w:rFonts w:cs="Arial"/>
          <w:lang w:val="fr-FR"/>
        </w:rPr>
        <w:t>habitat inclusif</w:t>
      </w:r>
      <w:r w:rsidRPr="00A86354" w:rsidR="000807D5">
        <w:rPr>
          <w:rFonts w:cs="Arial"/>
          <w:lang w:val="fr-FR"/>
        </w:rPr>
        <w:t> » :</w:t>
      </w:r>
      <w:r w:rsidRPr="00A86354" w:rsidR="00F97CE0">
        <w:rPr>
          <w:rFonts w:cs="Arial"/>
          <w:lang w:val="fr-FR"/>
        </w:rPr>
        <w:t xml:space="preserve"> </w:t>
      </w:r>
    </w:p>
    <w:p w:rsidRPr="00A86354" w:rsidR="00F97CE0" w:rsidP="00F97CE0" w:rsidRDefault="00F97CE0" w14:paraId="327A5048" w14:textId="7ECFED7A">
      <w:pPr>
        <w:rPr>
          <w:rFonts w:ascii="Arial" w:hAnsi="Arial" w:cs="Arial"/>
          <w:sz w:val="20"/>
          <w:szCs w:val="20"/>
          <w:lang w:val="fr-FR"/>
        </w:rPr>
      </w:pPr>
    </w:p>
    <w:p w:rsidRPr="00A86354" w:rsidR="00F97CE0" w:rsidP="00A86354" w:rsidRDefault="000807D5" w14:paraId="607D05FB" w14:textId="138FF921">
      <w:pPr>
        <w:ind w:left="709"/>
        <w:rPr>
          <w:rFonts w:ascii="Arial" w:hAnsi="Arial" w:cs="Arial"/>
          <w:sz w:val="20"/>
          <w:szCs w:val="20"/>
          <w:lang w:val="fr-FR"/>
        </w:rPr>
      </w:pPr>
      <w:r w:rsidRPr="00A86354">
        <w:rPr>
          <w:rFonts w:ascii="Arial" w:hAnsi="Arial" w:cs="Arial"/>
          <w:sz w:val="20"/>
          <w:szCs w:val="20"/>
          <w:lang w:val="fr-FR"/>
        </w:rPr>
        <w:t>« </w:t>
      </w:r>
      <w:r w:rsidRPr="00A86354" w:rsidR="00581010">
        <w:rPr>
          <w:rFonts w:ascii="Arial" w:hAnsi="Arial" w:cs="Arial"/>
          <w:sz w:val="20"/>
          <w:szCs w:val="20"/>
          <w:lang w:val="fr-FR"/>
        </w:rPr>
        <w:t>Habitat inclusif pour les personnes handicapées et les personnes âgées</w:t>
      </w:r>
    </w:p>
    <w:p w:rsidRPr="00A86354" w:rsidR="00581010" w:rsidP="00A86354" w:rsidRDefault="00581010" w14:paraId="17E4B82E" w14:textId="3C7A85B1">
      <w:pPr>
        <w:ind w:left="709"/>
        <w:rPr>
          <w:rFonts w:ascii="Arial" w:hAnsi="Arial" w:cs="Arial"/>
          <w:sz w:val="20"/>
          <w:szCs w:val="20"/>
          <w:lang w:val="fr-FR"/>
        </w:rPr>
      </w:pPr>
    </w:p>
    <w:p w:rsidRPr="00A86354" w:rsidR="00581010" w:rsidP="00A86354" w:rsidRDefault="00581010" w14:paraId="4367ADFE" w14:textId="738CE573">
      <w:pPr>
        <w:ind w:left="709"/>
        <w:rPr>
          <w:rFonts w:ascii="Arial" w:hAnsi="Arial" w:cs="Arial"/>
          <w:sz w:val="20"/>
          <w:szCs w:val="20"/>
          <w:lang w:val="fr-FR"/>
        </w:rPr>
      </w:pPr>
      <w:r w:rsidRPr="00A86354">
        <w:rPr>
          <w:rFonts w:ascii="Arial" w:hAnsi="Arial" w:cs="Arial"/>
          <w:sz w:val="20"/>
          <w:szCs w:val="20"/>
          <w:lang w:val="fr-FR"/>
        </w:rPr>
        <w:t>Art. L. 281-1.-L</w:t>
      </w:r>
      <w:r w:rsidRPr="00A86354" w:rsidR="0006032C">
        <w:rPr>
          <w:rFonts w:ascii="Arial" w:hAnsi="Arial" w:cs="Arial"/>
          <w:sz w:val="20"/>
          <w:szCs w:val="20"/>
          <w:lang w:val="fr-FR"/>
        </w:rPr>
        <w:t>’</w:t>
      </w:r>
      <w:r w:rsidRPr="00A86354">
        <w:rPr>
          <w:rFonts w:ascii="Arial" w:hAnsi="Arial" w:cs="Arial"/>
          <w:sz w:val="20"/>
          <w:szCs w:val="20"/>
          <w:lang w:val="fr-FR"/>
        </w:rPr>
        <w:t>habitat inclusif est destiné aux personnes handicapées et aux personnes âgées qui font le choix, à titre de résidence principale, d</w:t>
      </w:r>
      <w:r w:rsidRPr="00A86354" w:rsidR="0006032C">
        <w:rPr>
          <w:rFonts w:ascii="Arial" w:hAnsi="Arial" w:cs="Arial"/>
          <w:sz w:val="20"/>
          <w:szCs w:val="20"/>
          <w:lang w:val="fr-FR"/>
        </w:rPr>
        <w:t>’</w:t>
      </w:r>
      <w:r w:rsidRPr="00A86354">
        <w:rPr>
          <w:rFonts w:ascii="Arial" w:hAnsi="Arial" w:cs="Arial"/>
          <w:sz w:val="20"/>
          <w:szCs w:val="20"/>
          <w:lang w:val="fr-FR"/>
        </w:rPr>
        <w:t>un mode d</w:t>
      </w:r>
      <w:r w:rsidRPr="00A86354" w:rsidR="0006032C">
        <w:rPr>
          <w:rFonts w:ascii="Arial" w:hAnsi="Arial" w:cs="Arial"/>
          <w:sz w:val="20"/>
          <w:szCs w:val="20"/>
          <w:lang w:val="fr-FR"/>
        </w:rPr>
        <w:t>’</w:t>
      </w:r>
      <w:r w:rsidRPr="00A86354">
        <w:rPr>
          <w:rFonts w:ascii="Arial" w:hAnsi="Arial" w:cs="Arial"/>
          <w:sz w:val="20"/>
          <w:szCs w:val="20"/>
          <w:lang w:val="fr-FR"/>
        </w:rPr>
        <w:t>habitation regroupé, entre elles ou avec d</w:t>
      </w:r>
      <w:r w:rsidRPr="00A86354" w:rsidR="0006032C">
        <w:rPr>
          <w:rFonts w:ascii="Arial" w:hAnsi="Arial" w:cs="Arial"/>
          <w:sz w:val="20"/>
          <w:szCs w:val="20"/>
          <w:lang w:val="fr-FR"/>
        </w:rPr>
        <w:t>’</w:t>
      </w:r>
      <w:r w:rsidRPr="00A86354">
        <w:rPr>
          <w:rFonts w:ascii="Arial" w:hAnsi="Arial" w:cs="Arial"/>
          <w:sz w:val="20"/>
          <w:szCs w:val="20"/>
          <w:lang w:val="fr-FR"/>
        </w:rPr>
        <w:t xml:space="preserve">autres personnes </w:t>
      </w:r>
      <w:r w:rsidRPr="00A86354" w:rsidR="002C5D46">
        <w:rPr>
          <w:rFonts w:ascii="Arial" w:hAnsi="Arial" w:cs="Arial"/>
          <w:sz w:val="20"/>
          <w:szCs w:val="20"/>
          <w:lang w:val="fr-FR"/>
        </w:rPr>
        <w:t>[...]</w:t>
      </w:r>
      <w:r w:rsidRPr="00A86354">
        <w:rPr>
          <w:rFonts w:ascii="Arial" w:hAnsi="Arial" w:cs="Arial"/>
          <w:sz w:val="20"/>
          <w:szCs w:val="20"/>
          <w:lang w:val="fr-FR"/>
        </w:rPr>
        <w:t>, et assorti d</w:t>
      </w:r>
      <w:r w:rsidRPr="00A86354" w:rsidR="0006032C">
        <w:rPr>
          <w:rFonts w:ascii="Arial" w:hAnsi="Arial" w:cs="Arial"/>
          <w:sz w:val="20"/>
          <w:szCs w:val="20"/>
          <w:lang w:val="fr-FR"/>
        </w:rPr>
        <w:t>’</w:t>
      </w:r>
      <w:r w:rsidRPr="00A86354">
        <w:rPr>
          <w:rFonts w:ascii="Arial" w:hAnsi="Arial" w:cs="Arial"/>
          <w:sz w:val="20"/>
          <w:szCs w:val="20"/>
          <w:lang w:val="fr-FR"/>
        </w:rPr>
        <w:t>un projet de vie sociale et partagée défini par un cahier des charges national fixé par arrêté des ministres chargés des personnes âgées, des personnes handicapées et du logement.</w:t>
      </w:r>
      <w:r w:rsidRPr="00A86354" w:rsidR="000807D5">
        <w:rPr>
          <w:rFonts w:ascii="Arial" w:hAnsi="Arial" w:cs="Arial"/>
          <w:sz w:val="20"/>
          <w:szCs w:val="20"/>
          <w:lang w:val="fr-FR"/>
        </w:rPr>
        <w:t> »</w:t>
      </w:r>
    </w:p>
    <w:p w:rsidRPr="00A86354" w:rsidR="00F97CE0" w:rsidP="00164744" w:rsidRDefault="00F97CE0" w14:paraId="74FD7C19" w14:textId="77777777">
      <w:pPr>
        <w:rPr>
          <w:rFonts w:ascii="Arial" w:hAnsi="Arial" w:cs="Arial"/>
          <w:b/>
          <w:bCs/>
          <w:lang w:val="fr-FR"/>
        </w:rPr>
      </w:pPr>
    </w:p>
    <w:p w:rsidRPr="00A86354" w:rsidR="00096324" w:rsidP="00164744" w:rsidRDefault="00A60089" w14:paraId="15943453" w14:textId="573D7FB6">
      <w:pPr>
        <w:rPr>
          <w:rFonts w:ascii="Arial" w:hAnsi="Arial" w:cs="Arial"/>
          <w:b/>
          <w:bCs/>
          <w:lang w:val="fr-FR"/>
        </w:rPr>
      </w:pPr>
      <w:r w:rsidRPr="00A86354">
        <w:rPr>
          <w:rFonts w:ascii="Arial" w:hAnsi="Arial" w:cs="Arial"/>
          <w:b/>
          <w:bCs/>
          <w:lang w:val="fr-FR"/>
        </w:rPr>
        <w:t>Accessibilité</w:t>
      </w:r>
      <w:r w:rsidRPr="00A86354" w:rsidR="0006768C">
        <w:rPr>
          <w:rFonts w:ascii="Arial" w:hAnsi="Arial" w:cs="Arial"/>
          <w:b/>
          <w:bCs/>
          <w:lang w:val="fr-FR"/>
        </w:rPr>
        <w:t xml:space="preserve"> </w:t>
      </w:r>
      <w:r w:rsidRPr="00A86354" w:rsidR="000B15BD">
        <w:rPr>
          <w:rFonts w:ascii="Arial" w:hAnsi="Arial" w:cs="Arial"/>
          <w:b/>
          <w:bCs/>
          <w:lang w:val="fr-FR"/>
        </w:rPr>
        <w:t>des</w:t>
      </w:r>
      <w:r w:rsidRPr="00A86354" w:rsidR="0006768C">
        <w:rPr>
          <w:rFonts w:ascii="Arial" w:hAnsi="Arial" w:cs="Arial"/>
          <w:b/>
          <w:bCs/>
          <w:lang w:val="fr-FR"/>
        </w:rPr>
        <w:t xml:space="preserve"> transport</w:t>
      </w:r>
      <w:r w:rsidRPr="00A86354" w:rsidR="000B15BD">
        <w:rPr>
          <w:rFonts w:ascii="Arial" w:hAnsi="Arial" w:cs="Arial"/>
          <w:b/>
          <w:bCs/>
          <w:lang w:val="fr-FR"/>
        </w:rPr>
        <w:t>s publics</w:t>
      </w:r>
    </w:p>
    <w:p w:rsidRPr="00A86354" w:rsidR="0006768C" w:rsidP="002E578C" w:rsidRDefault="0006768C" w14:paraId="4EA5CB22" w14:textId="496EC6B2">
      <w:pPr>
        <w:rPr>
          <w:rFonts w:ascii="Arial" w:hAnsi="Arial" w:cs="Arial"/>
          <w:lang w:val="fr-FR"/>
        </w:rPr>
      </w:pPr>
    </w:p>
    <w:p w:rsidRPr="00A86354" w:rsidR="00BD7958" w:rsidP="00CE016A" w:rsidRDefault="00EC564E" w14:paraId="5C69F233" w14:textId="25A4163B">
      <w:pPr>
        <w:pStyle w:val="ListParagraph"/>
        <w:numPr>
          <w:ilvl w:val="0"/>
          <w:numId w:val="1"/>
        </w:numPr>
        <w:ind w:left="0" w:firstLine="0"/>
        <w:rPr>
          <w:rFonts w:cs="Arial"/>
          <w:lang w:val="fr-FR"/>
        </w:rPr>
      </w:pPr>
      <w:r w:rsidRPr="00A86354">
        <w:rPr>
          <w:rFonts w:cs="Arial"/>
          <w:lang w:val="fr-FR"/>
        </w:rPr>
        <w:t>L</w:t>
      </w:r>
      <w:r w:rsidRPr="00A86354" w:rsidR="0006032C">
        <w:rPr>
          <w:rFonts w:cs="Arial"/>
          <w:lang w:val="fr-FR"/>
        </w:rPr>
        <w:t>’</w:t>
      </w:r>
      <w:r w:rsidRPr="00A86354">
        <w:rPr>
          <w:rFonts w:cs="Arial"/>
          <w:lang w:val="fr-FR"/>
        </w:rPr>
        <w:t>article 52 (abrogé) de la loi n° 75-534 du 30 juin 1975 d</w:t>
      </w:r>
      <w:r w:rsidRPr="00A86354" w:rsidR="0006032C">
        <w:rPr>
          <w:rFonts w:cs="Arial"/>
          <w:lang w:val="fr-FR"/>
        </w:rPr>
        <w:t>’</w:t>
      </w:r>
      <w:r w:rsidRPr="00A86354">
        <w:rPr>
          <w:rFonts w:cs="Arial"/>
          <w:lang w:val="fr-FR"/>
        </w:rPr>
        <w:t>orientation en faveur des personnes handicapées énonce le principe suivant en matière d</w:t>
      </w:r>
      <w:r w:rsidRPr="00A86354" w:rsidR="0006032C">
        <w:rPr>
          <w:rFonts w:cs="Arial"/>
          <w:lang w:val="fr-FR"/>
        </w:rPr>
        <w:t>’</w:t>
      </w:r>
      <w:r w:rsidRPr="00A86354">
        <w:rPr>
          <w:rFonts w:cs="Arial"/>
          <w:lang w:val="fr-FR"/>
        </w:rPr>
        <w:t>accessibilité des transports publics</w:t>
      </w:r>
      <w:r w:rsidRPr="00A86354" w:rsidR="000807D5">
        <w:rPr>
          <w:rFonts w:cs="Arial"/>
          <w:lang w:val="fr-FR"/>
        </w:rPr>
        <w:t> :</w:t>
      </w:r>
      <w:r w:rsidRPr="00A86354" w:rsidR="00BD7958">
        <w:rPr>
          <w:rFonts w:cs="Arial"/>
          <w:lang w:val="fr-FR"/>
        </w:rPr>
        <w:t xml:space="preserve"> </w:t>
      </w:r>
    </w:p>
    <w:p w:rsidRPr="00A86354" w:rsidR="00BD7958" w:rsidP="0006768C" w:rsidRDefault="00BD7958" w14:paraId="73275BB9" w14:textId="77777777">
      <w:pPr>
        <w:rPr>
          <w:rFonts w:ascii="Arial" w:hAnsi="Arial" w:cs="Arial"/>
          <w:lang w:val="fr-FR"/>
        </w:rPr>
      </w:pPr>
    </w:p>
    <w:p w:rsidRPr="00A86354" w:rsidR="00BD7958" w:rsidP="00A86354" w:rsidRDefault="00BE289B" w14:paraId="4F99AC32" w14:textId="31B484DA">
      <w:pPr>
        <w:ind w:left="709"/>
        <w:rPr>
          <w:rFonts w:ascii="Arial" w:hAnsi="Arial" w:cs="Arial"/>
          <w:sz w:val="20"/>
          <w:szCs w:val="20"/>
          <w:lang w:val="fr-FR"/>
        </w:rPr>
      </w:pPr>
      <w:r w:rsidRPr="00A86354">
        <w:rPr>
          <w:rFonts w:ascii="Arial" w:hAnsi="Arial" w:cs="Arial"/>
          <w:sz w:val="20"/>
          <w:szCs w:val="20"/>
          <w:lang w:val="fr-FR"/>
        </w:rPr>
        <w:t>« </w:t>
      </w:r>
      <w:r w:rsidRPr="00A86354" w:rsidR="003562DA">
        <w:rPr>
          <w:rFonts w:ascii="Arial" w:hAnsi="Arial" w:cs="Arial"/>
          <w:sz w:val="20"/>
          <w:szCs w:val="20"/>
          <w:lang w:val="fr-FR"/>
        </w:rPr>
        <w:t>Afin de faciliter les déplacements des handicapés, des dispositions sont prises par voie réglementaire pour adapter les services de transport collectif ou pour aménager progressivement les normes de construction des véhicules de transport collectif, ainsi que les conditions d</w:t>
      </w:r>
      <w:r w:rsidRPr="00A86354" w:rsidR="0006032C">
        <w:rPr>
          <w:rFonts w:ascii="Arial" w:hAnsi="Arial" w:cs="Arial"/>
          <w:sz w:val="20"/>
          <w:szCs w:val="20"/>
          <w:lang w:val="fr-FR"/>
        </w:rPr>
        <w:t>’</w:t>
      </w:r>
      <w:r w:rsidRPr="00A86354" w:rsidR="003562DA">
        <w:rPr>
          <w:rFonts w:ascii="Arial" w:hAnsi="Arial" w:cs="Arial"/>
          <w:sz w:val="20"/>
          <w:szCs w:val="20"/>
          <w:lang w:val="fr-FR"/>
        </w:rPr>
        <w:t>accès à ces véhicules ou encore pour faciliter la création et le fonctionnement de services de transport spécialisés pour les handicapés ou, à défaut, l</w:t>
      </w:r>
      <w:r w:rsidRPr="00A86354" w:rsidR="0006032C">
        <w:rPr>
          <w:rFonts w:ascii="Arial" w:hAnsi="Arial" w:cs="Arial"/>
          <w:sz w:val="20"/>
          <w:szCs w:val="20"/>
          <w:lang w:val="fr-FR"/>
        </w:rPr>
        <w:t>’</w:t>
      </w:r>
      <w:r w:rsidRPr="00A86354" w:rsidR="003562DA">
        <w:rPr>
          <w:rFonts w:ascii="Arial" w:hAnsi="Arial" w:cs="Arial"/>
          <w:sz w:val="20"/>
          <w:szCs w:val="20"/>
          <w:lang w:val="fr-FR"/>
        </w:rPr>
        <w:t>utilisation des véhicules individuels ainsi que leur stationnement.</w:t>
      </w:r>
      <w:r w:rsidRPr="00A86354">
        <w:rPr>
          <w:rFonts w:ascii="Arial" w:hAnsi="Arial" w:cs="Arial"/>
          <w:sz w:val="20"/>
          <w:szCs w:val="20"/>
          <w:lang w:val="fr-FR"/>
        </w:rPr>
        <w:t> »</w:t>
      </w:r>
    </w:p>
    <w:p w:rsidRPr="00A86354" w:rsidR="00BD7958" w:rsidP="0006768C" w:rsidRDefault="00BD7958" w14:paraId="5000AB02" w14:textId="77777777">
      <w:pPr>
        <w:rPr>
          <w:rFonts w:ascii="Arial" w:hAnsi="Arial" w:cs="Arial"/>
          <w:lang w:val="fr-FR"/>
        </w:rPr>
      </w:pPr>
    </w:p>
    <w:p w:rsidRPr="00A86354" w:rsidR="00624C66" w:rsidP="00CE016A" w:rsidRDefault="00F46D3E" w14:paraId="5A431BC1" w14:textId="77777777">
      <w:pPr>
        <w:pStyle w:val="ListParagraph"/>
        <w:numPr>
          <w:ilvl w:val="0"/>
          <w:numId w:val="1"/>
        </w:numPr>
        <w:ind w:left="0" w:firstLine="0"/>
        <w:rPr>
          <w:rFonts w:cs="Arial"/>
          <w:i/>
          <w:iCs/>
          <w:lang w:val="fr-FR"/>
        </w:rPr>
      </w:pPr>
      <w:r w:rsidRPr="00A86354">
        <w:rPr>
          <w:rFonts w:cs="Arial"/>
          <w:lang w:val="fr-FR"/>
        </w:rPr>
        <w:t>Aux termes de l</w:t>
      </w:r>
      <w:r w:rsidRPr="00A86354" w:rsidR="0006032C">
        <w:rPr>
          <w:rFonts w:cs="Arial"/>
          <w:lang w:val="fr-FR"/>
        </w:rPr>
        <w:t>’</w:t>
      </w:r>
      <w:r w:rsidRPr="00A86354">
        <w:rPr>
          <w:rFonts w:cs="Arial"/>
          <w:lang w:val="fr-FR"/>
        </w:rPr>
        <w:t>a</w:t>
      </w:r>
      <w:r w:rsidRPr="00A86354" w:rsidR="0006768C">
        <w:rPr>
          <w:rFonts w:cs="Arial"/>
          <w:lang w:val="fr-FR"/>
        </w:rPr>
        <w:t xml:space="preserve">rticle 45 </w:t>
      </w:r>
      <w:r w:rsidRPr="00A86354">
        <w:rPr>
          <w:rFonts w:cs="Arial"/>
          <w:lang w:val="fr-FR"/>
        </w:rPr>
        <w:t>de la loi de</w:t>
      </w:r>
      <w:r w:rsidRPr="00A86354" w:rsidR="00DF1D8A">
        <w:rPr>
          <w:rFonts w:cs="Arial"/>
          <w:lang w:val="fr-FR"/>
        </w:rPr>
        <w:t xml:space="preserve"> 2005</w:t>
      </w:r>
      <w:r w:rsidRPr="00A86354" w:rsidR="000807D5">
        <w:rPr>
          <w:rFonts w:cs="Arial"/>
          <w:lang w:val="fr-FR"/>
        </w:rPr>
        <w:t> :</w:t>
      </w:r>
      <w:r w:rsidRPr="00A86354" w:rsidR="0006768C">
        <w:rPr>
          <w:rFonts w:cs="Arial"/>
          <w:lang w:val="fr-FR"/>
        </w:rPr>
        <w:t xml:space="preserve"> </w:t>
      </w:r>
    </w:p>
    <w:p w:rsidRPr="00A86354" w:rsidR="00624C66" w:rsidP="00624C66" w:rsidRDefault="00624C66" w14:paraId="3C439A6A" w14:textId="77777777">
      <w:pPr>
        <w:pStyle w:val="ListParagraph"/>
        <w:rPr>
          <w:rFonts w:cs="Arial"/>
          <w:lang w:val="fr-FR"/>
        </w:rPr>
      </w:pPr>
    </w:p>
    <w:p w:rsidRPr="00A86354" w:rsidR="0006768C" w:rsidP="00A86354" w:rsidRDefault="000807D5" w14:paraId="39C9715B" w14:textId="5B8C9BD8">
      <w:pPr>
        <w:pStyle w:val="ListParagraph"/>
        <w:ind w:left="709"/>
        <w:rPr>
          <w:rFonts w:cs="Arial"/>
          <w:sz w:val="20"/>
          <w:szCs w:val="20"/>
          <w:lang w:val="fr-FR"/>
        </w:rPr>
      </w:pPr>
      <w:r w:rsidRPr="00A86354">
        <w:rPr>
          <w:rFonts w:cs="Arial"/>
          <w:sz w:val="20"/>
          <w:szCs w:val="20"/>
          <w:lang w:val="fr-FR"/>
        </w:rPr>
        <w:t>« </w:t>
      </w:r>
      <w:r w:rsidRPr="00A86354" w:rsidR="003562DA">
        <w:rPr>
          <w:rFonts w:cs="Arial"/>
          <w:sz w:val="20"/>
          <w:szCs w:val="20"/>
          <w:lang w:val="fr-FR"/>
        </w:rPr>
        <w:t xml:space="preserve">La chaîne du déplacement, qui comprend le cadre bâti, la voirie, les aménagements des espaces publics, les systèmes de transport et leur intermodalité, est organisée pour permettre son accessibilité </w:t>
      </w:r>
      <w:r w:rsidRPr="00A86354" w:rsidR="00BE289B">
        <w:rPr>
          <w:rFonts w:cs="Arial"/>
          <w:sz w:val="20"/>
          <w:szCs w:val="20"/>
          <w:lang w:val="fr-FR"/>
        </w:rPr>
        <w:t xml:space="preserve">dans sa totalité </w:t>
      </w:r>
      <w:r w:rsidRPr="00A86354" w:rsidR="003562DA">
        <w:rPr>
          <w:rFonts w:cs="Arial"/>
          <w:sz w:val="20"/>
          <w:szCs w:val="20"/>
          <w:lang w:val="fr-FR"/>
        </w:rPr>
        <w:t>aux personnes handicapées ou à mobilité réduite.</w:t>
      </w:r>
      <w:r w:rsidRPr="00A86354" w:rsidR="00194C32">
        <w:rPr>
          <w:rFonts w:cs="Arial"/>
          <w:sz w:val="20"/>
          <w:szCs w:val="20"/>
          <w:lang w:val="fr-FR"/>
        </w:rPr>
        <w:t> »</w:t>
      </w:r>
      <w:r w:rsidRPr="00A86354" w:rsidR="003562DA">
        <w:rPr>
          <w:rFonts w:cs="Arial"/>
          <w:sz w:val="20"/>
          <w:szCs w:val="20"/>
          <w:lang w:val="fr-FR"/>
        </w:rPr>
        <w:t xml:space="preserve"> </w:t>
      </w:r>
      <w:r w:rsidRPr="00A86354" w:rsidR="00194C32">
        <w:rPr>
          <w:rFonts w:cs="Arial"/>
          <w:sz w:val="20"/>
          <w:szCs w:val="20"/>
          <w:lang w:val="fr-FR"/>
        </w:rPr>
        <w:t>« </w:t>
      </w:r>
      <w:r w:rsidRPr="00A86354" w:rsidR="003562DA">
        <w:rPr>
          <w:rFonts w:cs="Arial"/>
          <w:sz w:val="20"/>
          <w:szCs w:val="20"/>
          <w:lang w:val="fr-FR"/>
        </w:rPr>
        <w:t>Dans un délai de dix ans à compter de la date de publication de la présente loi, les services de transport collectif devront être accessibles aux personnes handicapées et à mobilité réduite.</w:t>
      </w:r>
      <w:r w:rsidRPr="00A86354">
        <w:rPr>
          <w:rFonts w:cs="Arial"/>
          <w:sz w:val="20"/>
          <w:szCs w:val="20"/>
          <w:lang w:val="fr-FR"/>
        </w:rPr>
        <w:t> »</w:t>
      </w:r>
    </w:p>
    <w:p w:rsidRPr="00A86354" w:rsidR="0006768C" w:rsidP="0006768C" w:rsidRDefault="0006768C" w14:paraId="2C9D3F94" w14:textId="279CD327">
      <w:pPr>
        <w:rPr>
          <w:rFonts w:ascii="Arial" w:hAnsi="Arial" w:cs="Arial"/>
          <w:i/>
          <w:iCs/>
          <w:lang w:val="fr-FR"/>
        </w:rPr>
      </w:pPr>
    </w:p>
    <w:p w:rsidRPr="00A86354" w:rsidR="0006768C" w:rsidP="00CE016A" w:rsidRDefault="00581010" w14:paraId="465D5676" w14:textId="6DA254A5">
      <w:pPr>
        <w:pStyle w:val="ListParagraph"/>
        <w:numPr>
          <w:ilvl w:val="0"/>
          <w:numId w:val="1"/>
        </w:numPr>
        <w:ind w:left="0" w:firstLine="0"/>
        <w:rPr>
          <w:rFonts w:cs="Arial"/>
          <w:lang w:val="fr-FR"/>
        </w:rPr>
      </w:pPr>
      <w:r w:rsidRPr="00A86354">
        <w:rPr>
          <w:rFonts w:cs="Arial"/>
          <w:lang w:val="fr-FR"/>
        </w:rPr>
        <w:t>L</w:t>
      </w:r>
      <w:r w:rsidRPr="00A86354" w:rsidR="0006032C">
        <w:rPr>
          <w:rFonts w:cs="Arial"/>
          <w:lang w:val="fr-FR"/>
        </w:rPr>
        <w:t>’</w:t>
      </w:r>
      <w:r w:rsidRPr="00A86354">
        <w:rPr>
          <w:rFonts w:cs="Arial"/>
          <w:lang w:val="fr-FR"/>
        </w:rPr>
        <w:t>a</w:t>
      </w:r>
      <w:r w:rsidRPr="00A86354" w:rsidR="0006768C">
        <w:rPr>
          <w:rFonts w:cs="Arial"/>
          <w:lang w:val="fr-FR"/>
        </w:rPr>
        <w:t xml:space="preserve">rticle 6 </w:t>
      </w:r>
      <w:r w:rsidRPr="00A86354">
        <w:rPr>
          <w:rFonts w:cs="Arial"/>
          <w:lang w:val="fr-FR"/>
        </w:rPr>
        <w:t>de l</w:t>
      </w:r>
      <w:r w:rsidRPr="00A86354" w:rsidR="0006032C">
        <w:rPr>
          <w:rFonts w:cs="Arial"/>
          <w:lang w:val="fr-FR"/>
        </w:rPr>
        <w:t>’</w:t>
      </w:r>
      <w:r w:rsidRPr="00A86354">
        <w:rPr>
          <w:rFonts w:cs="Arial"/>
          <w:lang w:val="fr-FR"/>
        </w:rPr>
        <w:t>ordonnance n°</w:t>
      </w:r>
      <w:r w:rsidRPr="00A86354" w:rsidR="0006768C">
        <w:rPr>
          <w:rFonts w:cs="Arial"/>
          <w:lang w:val="fr-FR"/>
        </w:rPr>
        <w:t xml:space="preserve"> 2014-1090 </w:t>
      </w:r>
      <w:r w:rsidRPr="00A86354">
        <w:rPr>
          <w:rFonts w:cs="Arial"/>
          <w:lang w:val="fr-FR"/>
        </w:rPr>
        <w:t>du</w:t>
      </w:r>
      <w:r w:rsidRPr="00A86354" w:rsidR="0006768C">
        <w:rPr>
          <w:rFonts w:cs="Arial"/>
          <w:lang w:val="fr-FR"/>
        </w:rPr>
        <w:t xml:space="preserve"> 26 </w:t>
      </w:r>
      <w:r w:rsidRPr="00A86354">
        <w:rPr>
          <w:rFonts w:cs="Arial"/>
          <w:lang w:val="fr-FR"/>
        </w:rPr>
        <w:t>septembre</w:t>
      </w:r>
      <w:r w:rsidRPr="00A86354" w:rsidR="0006768C">
        <w:rPr>
          <w:rFonts w:cs="Arial"/>
          <w:lang w:val="fr-FR"/>
        </w:rPr>
        <w:t xml:space="preserve"> 2014 limite</w:t>
      </w:r>
      <w:r w:rsidRPr="00A86354">
        <w:rPr>
          <w:rFonts w:cs="Arial"/>
          <w:lang w:val="fr-FR"/>
        </w:rPr>
        <w:t xml:space="preserve"> </w:t>
      </w:r>
      <w:r w:rsidRPr="00A86354" w:rsidR="00237B65">
        <w:rPr>
          <w:rFonts w:cs="Arial"/>
          <w:lang w:val="fr-FR"/>
        </w:rPr>
        <w:t>la portée des obligations de mise en accessibilité aux</w:t>
      </w:r>
      <w:r w:rsidRPr="00A86354">
        <w:rPr>
          <w:rFonts w:cs="Arial"/>
          <w:lang w:val="fr-FR"/>
        </w:rPr>
        <w:t xml:space="preserve"> points d</w:t>
      </w:r>
      <w:r w:rsidRPr="00A86354" w:rsidR="0006032C">
        <w:rPr>
          <w:rFonts w:cs="Arial"/>
          <w:lang w:val="fr-FR"/>
        </w:rPr>
        <w:t>’</w:t>
      </w:r>
      <w:r w:rsidRPr="00A86354">
        <w:rPr>
          <w:rFonts w:cs="Arial"/>
          <w:lang w:val="fr-FR"/>
        </w:rPr>
        <w:t>arrêt prioritaires</w:t>
      </w:r>
      <w:r w:rsidRPr="00A86354" w:rsidR="0006768C">
        <w:rPr>
          <w:rFonts w:cs="Arial"/>
          <w:lang w:val="fr-FR"/>
        </w:rPr>
        <w:t xml:space="preserve">. </w:t>
      </w:r>
      <w:r w:rsidRPr="00A86354" w:rsidR="00237B65">
        <w:rPr>
          <w:rFonts w:cs="Arial"/>
          <w:lang w:val="fr-FR"/>
        </w:rPr>
        <w:t>Selon cet article</w:t>
      </w:r>
      <w:r w:rsidRPr="00A86354" w:rsidR="000807D5">
        <w:rPr>
          <w:rFonts w:cs="Arial"/>
          <w:lang w:val="fr-FR"/>
        </w:rPr>
        <w:t> :</w:t>
      </w:r>
      <w:r w:rsidRPr="00A86354" w:rsidR="0006768C">
        <w:rPr>
          <w:rFonts w:cs="Arial"/>
          <w:lang w:val="fr-FR"/>
        </w:rPr>
        <w:t xml:space="preserve"> </w:t>
      </w:r>
    </w:p>
    <w:p w:rsidRPr="00A86354" w:rsidR="0006768C" w:rsidP="00164744" w:rsidRDefault="0006768C" w14:paraId="2DE90B28" w14:textId="605DBAD2">
      <w:pPr>
        <w:rPr>
          <w:rFonts w:ascii="Arial" w:hAnsi="Arial" w:cs="Arial"/>
          <w:lang w:val="fr-FR"/>
        </w:rPr>
      </w:pPr>
    </w:p>
    <w:p w:rsidRPr="00A86354" w:rsidR="0006768C" w:rsidP="00A86354" w:rsidRDefault="000807D5" w14:paraId="06D4FA76" w14:textId="081CF37D">
      <w:pPr>
        <w:ind w:left="709"/>
        <w:rPr>
          <w:rFonts w:ascii="Arial" w:hAnsi="Arial" w:cs="Arial"/>
          <w:sz w:val="20"/>
          <w:szCs w:val="20"/>
          <w:lang w:val="fr-FR"/>
        </w:rPr>
      </w:pPr>
      <w:r w:rsidRPr="00A86354">
        <w:rPr>
          <w:rFonts w:ascii="Arial" w:hAnsi="Arial" w:cs="Arial"/>
          <w:sz w:val="20"/>
          <w:szCs w:val="20"/>
          <w:lang w:val="fr-FR"/>
        </w:rPr>
        <w:t>« </w:t>
      </w:r>
      <w:r w:rsidRPr="00A86354" w:rsidR="00237B65">
        <w:rPr>
          <w:rFonts w:ascii="Arial" w:hAnsi="Arial" w:cs="Arial"/>
          <w:sz w:val="20"/>
          <w:szCs w:val="20"/>
          <w:lang w:val="fr-FR"/>
        </w:rPr>
        <w:t>L</w:t>
      </w:r>
      <w:r w:rsidRPr="00A86354" w:rsidR="0006032C">
        <w:rPr>
          <w:rFonts w:ascii="Arial" w:hAnsi="Arial" w:cs="Arial"/>
          <w:sz w:val="20"/>
          <w:szCs w:val="20"/>
          <w:lang w:val="fr-FR"/>
        </w:rPr>
        <w:t>’</w:t>
      </w:r>
      <w:r w:rsidRPr="00A86354" w:rsidR="00237B65">
        <w:rPr>
          <w:rFonts w:ascii="Arial" w:hAnsi="Arial" w:cs="Arial"/>
          <w:sz w:val="20"/>
          <w:szCs w:val="20"/>
          <w:lang w:val="fr-FR"/>
        </w:rPr>
        <w:t>accessibilité du service de transport est assurée par l</w:t>
      </w:r>
      <w:r w:rsidRPr="00A86354" w:rsidR="0006032C">
        <w:rPr>
          <w:rFonts w:ascii="Arial" w:hAnsi="Arial" w:cs="Arial"/>
          <w:sz w:val="20"/>
          <w:szCs w:val="20"/>
          <w:lang w:val="fr-FR"/>
        </w:rPr>
        <w:t>’</w:t>
      </w:r>
      <w:r w:rsidRPr="00A86354" w:rsidR="00237B65">
        <w:rPr>
          <w:rFonts w:ascii="Arial" w:hAnsi="Arial" w:cs="Arial"/>
          <w:sz w:val="20"/>
          <w:szCs w:val="20"/>
          <w:lang w:val="fr-FR"/>
        </w:rPr>
        <w:t>aménagement des points d</w:t>
      </w:r>
      <w:r w:rsidRPr="00A86354" w:rsidR="0006032C">
        <w:rPr>
          <w:rFonts w:ascii="Arial" w:hAnsi="Arial" w:cs="Arial"/>
          <w:sz w:val="20"/>
          <w:szCs w:val="20"/>
          <w:lang w:val="fr-FR"/>
        </w:rPr>
        <w:t>’</w:t>
      </w:r>
      <w:r w:rsidRPr="00A86354" w:rsidR="00237B65">
        <w:rPr>
          <w:rFonts w:ascii="Arial" w:hAnsi="Arial" w:cs="Arial"/>
          <w:sz w:val="20"/>
          <w:szCs w:val="20"/>
          <w:lang w:val="fr-FR"/>
        </w:rPr>
        <w:t>arrêt prioritaires compte tenu de leur fréquentation, des modalités de leur exploitation, de l</w:t>
      </w:r>
      <w:r w:rsidRPr="00A86354" w:rsidR="0006032C">
        <w:rPr>
          <w:rFonts w:ascii="Arial" w:hAnsi="Arial" w:cs="Arial"/>
          <w:sz w:val="20"/>
          <w:szCs w:val="20"/>
          <w:lang w:val="fr-FR"/>
        </w:rPr>
        <w:t>’</w:t>
      </w:r>
      <w:r w:rsidRPr="00A86354" w:rsidR="00237B65">
        <w:rPr>
          <w:rFonts w:ascii="Arial" w:hAnsi="Arial" w:cs="Arial"/>
          <w:sz w:val="20"/>
          <w:szCs w:val="20"/>
          <w:lang w:val="fr-FR"/>
        </w:rPr>
        <w:t xml:space="preserve">organisation des réseaux de transport et des nécessités de desserte suffisante du territoire. </w:t>
      </w:r>
      <w:r w:rsidRPr="00A86354" w:rsidR="002C5D46">
        <w:rPr>
          <w:rFonts w:ascii="Arial" w:hAnsi="Arial" w:cs="Arial"/>
          <w:sz w:val="20"/>
          <w:szCs w:val="20"/>
          <w:lang w:val="fr-FR"/>
        </w:rPr>
        <w:t>[...]</w:t>
      </w:r>
      <w:r w:rsidRPr="00A86354">
        <w:rPr>
          <w:rFonts w:ascii="Arial" w:hAnsi="Arial" w:cs="Arial"/>
          <w:sz w:val="20"/>
          <w:szCs w:val="20"/>
          <w:lang w:val="fr-FR"/>
        </w:rPr>
        <w:t> »</w:t>
      </w:r>
    </w:p>
    <w:p w:rsidRPr="00A86354" w:rsidR="0006768C" w:rsidP="002E578C" w:rsidRDefault="0006768C" w14:paraId="62AB728D" w14:textId="665663B6">
      <w:pPr>
        <w:rPr>
          <w:rFonts w:ascii="Arial" w:hAnsi="Arial" w:cs="Arial"/>
          <w:lang w:val="fr-FR"/>
        </w:rPr>
      </w:pPr>
    </w:p>
    <w:p w:rsidRPr="00A86354" w:rsidR="00C42FC9" w:rsidP="00CE016A" w:rsidRDefault="00237B65" w14:paraId="23F4327C" w14:textId="2A7BDBF3">
      <w:pPr>
        <w:pStyle w:val="ListParagraph"/>
        <w:numPr>
          <w:ilvl w:val="0"/>
          <w:numId w:val="1"/>
        </w:numPr>
        <w:ind w:left="0" w:firstLine="0"/>
        <w:rPr>
          <w:rFonts w:cs="Arial"/>
          <w:lang w:val="fr-FR"/>
        </w:rPr>
      </w:pPr>
      <w:r w:rsidRPr="00A86354">
        <w:rPr>
          <w:rFonts w:cs="Arial"/>
          <w:lang w:val="fr-FR"/>
        </w:rPr>
        <w:t>L</w:t>
      </w:r>
      <w:r w:rsidRPr="00A86354" w:rsidR="0006032C">
        <w:rPr>
          <w:rFonts w:cs="Arial"/>
          <w:lang w:val="fr-FR"/>
        </w:rPr>
        <w:t>’</w:t>
      </w:r>
      <w:r w:rsidRPr="00A86354">
        <w:rPr>
          <w:rFonts w:cs="Arial"/>
          <w:lang w:val="fr-FR"/>
        </w:rPr>
        <w:t>a</w:t>
      </w:r>
      <w:r w:rsidRPr="00A86354" w:rsidR="00C42FC9">
        <w:rPr>
          <w:rFonts w:cs="Arial"/>
          <w:lang w:val="fr-FR"/>
        </w:rPr>
        <w:t xml:space="preserve">rticle 7 </w:t>
      </w:r>
      <w:r w:rsidRPr="00A86354">
        <w:rPr>
          <w:rFonts w:cs="Arial"/>
          <w:lang w:val="fr-FR"/>
        </w:rPr>
        <w:t>prévoit la possibilité pour les services et autorités organisatrices de transport public d</w:t>
      </w:r>
      <w:r w:rsidRPr="00A86354" w:rsidR="0006032C">
        <w:rPr>
          <w:rFonts w:cs="Arial"/>
          <w:lang w:val="fr-FR"/>
        </w:rPr>
        <w:t>’</w:t>
      </w:r>
      <w:r w:rsidRPr="00A86354">
        <w:rPr>
          <w:rFonts w:cs="Arial"/>
          <w:lang w:val="fr-FR"/>
        </w:rPr>
        <w:t>élaborer un schéma directeur d</w:t>
      </w:r>
      <w:r w:rsidRPr="00A86354" w:rsidR="0006032C">
        <w:rPr>
          <w:rFonts w:cs="Arial"/>
          <w:lang w:val="fr-FR"/>
        </w:rPr>
        <w:t>’</w:t>
      </w:r>
      <w:r w:rsidRPr="00A86354">
        <w:rPr>
          <w:rFonts w:cs="Arial"/>
          <w:lang w:val="fr-FR"/>
        </w:rPr>
        <w:t>accessibilité programmée</w:t>
      </w:r>
      <w:r w:rsidRPr="00A86354" w:rsidR="00C42FC9">
        <w:rPr>
          <w:rFonts w:cs="Arial"/>
          <w:lang w:val="fr-FR"/>
        </w:rPr>
        <w:t xml:space="preserve"> (</w:t>
      </w:r>
      <w:r w:rsidRPr="00A86354" w:rsidR="00BD7958">
        <w:rPr>
          <w:rFonts w:cs="Arial"/>
          <w:lang w:val="fr-FR"/>
        </w:rPr>
        <w:t>S</w:t>
      </w:r>
      <w:r w:rsidRPr="00A86354" w:rsidR="00C42FC9">
        <w:rPr>
          <w:rFonts w:cs="Arial"/>
          <w:lang w:val="fr-FR"/>
        </w:rPr>
        <w:t>d</w:t>
      </w:r>
      <w:r w:rsidRPr="00A86354" w:rsidR="0006032C">
        <w:rPr>
          <w:rFonts w:cs="Arial"/>
          <w:lang w:val="fr-FR"/>
        </w:rPr>
        <w:t>’</w:t>
      </w:r>
      <w:r w:rsidRPr="00A86354" w:rsidR="00C42FC9">
        <w:rPr>
          <w:rFonts w:cs="Arial"/>
          <w:lang w:val="fr-FR"/>
        </w:rPr>
        <w:t>AP)</w:t>
      </w:r>
      <w:r w:rsidRPr="00A86354" w:rsidR="000807D5">
        <w:rPr>
          <w:rFonts w:cs="Arial"/>
          <w:lang w:val="fr-FR"/>
        </w:rPr>
        <w:t> :</w:t>
      </w:r>
      <w:r w:rsidRPr="00A86354" w:rsidR="00C42FC9">
        <w:rPr>
          <w:rFonts w:cs="Arial"/>
          <w:lang w:val="fr-FR"/>
        </w:rPr>
        <w:t xml:space="preserve"> </w:t>
      </w:r>
    </w:p>
    <w:p w:rsidRPr="00A86354" w:rsidR="00C42FC9" w:rsidP="00C42FC9" w:rsidRDefault="00C42FC9" w14:paraId="6A418241" w14:textId="77777777">
      <w:pPr>
        <w:rPr>
          <w:rFonts w:ascii="Arial" w:hAnsi="Arial" w:cs="Arial"/>
          <w:lang w:val="fr-FR"/>
        </w:rPr>
      </w:pPr>
    </w:p>
    <w:p w:rsidRPr="00A86354" w:rsidR="00C42FC9" w:rsidP="00A86354" w:rsidRDefault="000807D5" w14:paraId="6BF8F2DF" w14:textId="1190AD34">
      <w:pPr>
        <w:ind w:left="709"/>
        <w:rPr>
          <w:rFonts w:ascii="Arial" w:hAnsi="Arial" w:cs="Arial"/>
          <w:sz w:val="20"/>
          <w:szCs w:val="20"/>
          <w:lang w:val="fr-FR"/>
        </w:rPr>
      </w:pPr>
      <w:r w:rsidRPr="00A86354">
        <w:rPr>
          <w:rFonts w:ascii="Arial" w:hAnsi="Arial" w:cs="Arial"/>
          <w:sz w:val="20"/>
          <w:szCs w:val="20"/>
          <w:lang w:val="fr-FR"/>
        </w:rPr>
        <w:t>« </w:t>
      </w:r>
      <w:r w:rsidRPr="00A86354" w:rsidR="00237B65">
        <w:rPr>
          <w:rFonts w:ascii="Arial" w:hAnsi="Arial" w:cs="Arial"/>
          <w:sz w:val="20"/>
          <w:szCs w:val="20"/>
          <w:lang w:val="fr-FR"/>
        </w:rPr>
        <w:t>Il peut être élaboré un schéma directeur d</w:t>
      </w:r>
      <w:r w:rsidRPr="00A86354" w:rsidR="0006032C">
        <w:rPr>
          <w:rFonts w:ascii="Arial" w:hAnsi="Arial" w:cs="Arial"/>
          <w:sz w:val="20"/>
          <w:szCs w:val="20"/>
          <w:lang w:val="fr-FR"/>
        </w:rPr>
        <w:t>’</w:t>
      </w:r>
      <w:r w:rsidRPr="00A86354" w:rsidR="00237B65">
        <w:rPr>
          <w:rFonts w:ascii="Arial" w:hAnsi="Arial" w:cs="Arial"/>
          <w:sz w:val="20"/>
          <w:szCs w:val="20"/>
          <w:lang w:val="fr-FR"/>
        </w:rPr>
        <w:t>accessibilité-agenda d</w:t>
      </w:r>
      <w:r w:rsidRPr="00A86354" w:rsidR="0006032C">
        <w:rPr>
          <w:rFonts w:ascii="Arial" w:hAnsi="Arial" w:cs="Arial"/>
          <w:sz w:val="20"/>
          <w:szCs w:val="20"/>
          <w:lang w:val="fr-FR"/>
        </w:rPr>
        <w:t>’</w:t>
      </w:r>
      <w:r w:rsidRPr="00A86354" w:rsidR="00237B65">
        <w:rPr>
          <w:rFonts w:ascii="Arial" w:hAnsi="Arial" w:cs="Arial"/>
          <w:sz w:val="20"/>
          <w:szCs w:val="20"/>
          <w:lang w:val="fr-FR"/>
        </w:rPr>
        <w:t>accessibilité programmée. Cet agenda comporte une analyse des actions nécessaires à la mise en accessibilité de ce service et prévoit les modalités et la programmation de la réalisation de ces actions ainsi que le financement correspondant. Il précise les points d</w:t>
      </w:r>
      <w:r w:rsidRPr="00A86354" w:rsidR="0006032C">
        <w:rPr>
          <w:rFonts w:ascii="Arial" w:hAnsi="Arial" w:cs="Arial"/>
          <w:sz w:val="20"/>
          <w:szCs w:val="20"/>
          <w:lang w:val="fr-FR"/>
        </w:rPr>
        <w:t>’</w:t>
      </w:r>
      <w:r w:rsidRPr="00A86354" w:rsidR="00237B65">
        <w:rPr>
          <w:rFonts w:ascii="Arial" w:hAnsi="Arial" w:cs="Arial"/>
          <w:sz w:val="20"/>
          <w:szCs w:val="20"/>
          <w:lang w:val="fr-FR"/>
        </w:rPr>
        <w:t>arrêt identifiés comme prioritaires, les dérogations sollicitées en cas d</w:t>
      </w:r>
      <w:r w:rsidRPr="00A86354" w:rsidR="0006032C">
        <w:rPr>
          <w:rFonts w:ascii="Arial" w:hAnsi="Arial" w:cs="Arial"/>
          <w:sz w:val="20"/>
          <w:szCs w:val="20"/>
          <w:lang w:val="fr-FR"/>
        </w:rPr>
        <w:t>’</w:t>
      </w:r>
      <w:r w:rsidRPr="00A86354" w:rsidR="00237B65">
        <w:rPr>
          <w:rFonts w:ascii="Arial" w:hAnsi="Arial" w:cs="Arial"/>
          <w:sz w:val="20"/>
          <w:szCs w:val="20"/>
          <w:lang w:val="fr-FR"/>
        </w:rPr>
        <w:t>impossibilité technique avérée mentionnée à l</w:t>
      </w:r>
      <w:r w:rsidRPr="00A86354" w:rsidR="0006032C">
        <w:rPr>
          <w:rFonts w:ascii="Arial" w:hAnsi="Arial" w:cs="Arial"/>
          <w:sz w:val="20"/>
          <w:szCs w:val="20"/>
          <w:lang w:val="fr-FR"/>
        </w:rPr>
        <w:t>’</w:t>
      </w:r>
      <w:r w:rsidRPr="00A86354" w:rsidR="00237B65">
        <w:rPr>
          <w:rFonts w:ascii="Arial" w:hAnsi="Arial" w:cs="Arial"/>
          <w:sz w:val="20"/>
          <w:szCs w:val="20"/>
          <w:lang w:val="fr-FR"/>
        </w:rPr>
        <w:t>article L. 1112-4 et les mesures de substitution prévues dans ces derniers cas.</w:t>
      </w:r>
    </w:p>
    <w:p w:rsidRPr="00A86354" w:rsidR="00C42FC9" w:rsidP="00A86354" w:rsidRDefault="00C42FC9" w14:paraId="488A4375" w14:textId="514DB20A">
      <w:pPr>
        <w:ind w:left="709"/>
        <w:rPr>
          <w:rFonts w:ascii="Arial" w:hAnsi="Arial" w:cs="Arial"/>
          <w:sz w:val="20"/>
          <w:szCs w:val="20"/>
          <w:lang w:val="fr-FR"/>
        </w:rPr>
      </w:pPr>
    </w:p>
    <w:p w:rsidRPr="00A86354" w:rsidR="00C42FC9" w:rsidP="00A86354" w:rsidRDefault="002C5D46" w14:paraId="2CB402CD" w14:textId="2AED18B1">
      <w:pPr>
        <w:ind w:left="709"/>
        <w:rPr>
          <w:rFonts w:ascii="Arial" w:hAnsi="Arial" w:cs="Arial"/>
          <w:sz w:val="20"/>
          <w:szCs w:val="20"/>
          <w:lang w:val="fr-FR"/>
        </w:rPr>
      </w:pPr>
      <w:r w:rsidRPr="00A86354">
        <w:rPr>
          <w:rFonts w:ascii="Arial" w:hAnsi="Arial" w:cs="Arial"/>
          <w:sz w:val="20"/>
          <w:szCs w:val="20"/>
          <w:lang w:val="fr-FR"/>
        </w:rPr>
        <w:t>[...]</w:t>
      </w:r>
    </w:p>
    <w:p w:rsidRPr="00A86354" w:rsidR="00C42FC9" w:rsidP="00A86354" w:rsidRDefault="00C42FC9" w14:paraId="6988E2DC" w14:textId="77777777">
      <w:pPr>
        <w:ind w:left="709"/>
        <w:rPr>
          <w:rFonts w:ascii="Arial" w:hAnsi="Arial" w:cs="Arial"/>
          <w:sz w:val="20"/>
          <w:szCs w:val="20"/>
          <w:lang w:val="fr-FR"/>
        </w:rPr>
      </w:pPr>
    </w:p>
    <w:p w:rsidRPr="00A86354" w:rsidR="0006768C" w:rsidP="00A86354" w:rsidRDefault="00F46D3E" w14:paraId="3744503E" w14:textId="003B1159">
      <w:pPr>
        <w:ind w:left="709"/>
        <w:rPr>
          <w:rFonts w:ascii="Arial" w:hAnsi="Arial" w:cs="Arial"/>
          <w:sz w:val="20"/>
          <w:szCs w:val="20"/>
          <w:lang w:val="fr-FR"/>
        </w:rPr>
      </w:pPr>
      <w:r w:rsidRPr="00A86354">
        <w:rPr>
          <w:rFonts w:ascii="Arial" w:hAnsi="Arial" w:cs="Arial"/>
          <w:sz w:val="20"/>
          <w:szCs w:val="20"/>
          <w:lang w:val="fr-FR"/>
        </w:rPr>
        <w:t>Le schéma directeur d</w:t>
      </w:r>
      <w:r w:rsidRPr="00A86354" w:rsidR="0006032C">
        <w:rPr>
          <w:rFonts w:ascii="Arial" w:hAnsi="Arial" w:cs="Arial"/>
          <w:sz w:val="20"/>
          <w:szCs w:val="20"/>
          <w:lang w:val="fr-FR"/>
        </w:rPr>
        <w:t>’</w:t>
      </w:r>
      <w:r w:rsidRPr="00A86354">
        <w:rPr>
          <w:rFonts w:ascii="Arial" w:hAnsi="Arial" w:cs="Arial"/>
          <w:sz w:val="20"/>
          <w:szCs w:val="20"/>
          <w:lang w:val="fr-FR"/>
        </w:rPr>
        <w:t>accessibilité-agenda d</w:t>
      </w:r>
      <w:r w:rsidRPr="00A86354" w:rsidR="0006032C">
        <w:rPr>
          <w:rFonts w:ascii="Arial" w:hAnsi="Arial" w:cs="Arial"/>
          <w:sz w:val="20"/>
          <w:szCs w:val="20"/>
          <w:lang w:val="fr-FR"/>
        </w:rPr>
        <w:t>’</w:t>
      </w:r>
      <w:r w:rsidRPr="00A86354">
        <w:rPr>
          <w:rFonts w:ascii="Arial" w:hAnsi="Arial" w:cs="Arial"/>
          <w:sz w:val="20"/>
          <w:szCs w:val="20"/>
          <w:lang w:val="fr-FR"/>
        </w:rPr>
        <w:t>accessibilité programmée doit être déposé dans les douze mois suivant la publication de l</w:t>
      </w:r>
      <w:r w:rsidRPr="00A86354" w:rsidR="0006032C">
        <w:rPr>
          <w:rFonts w:ascii="Arial" w:hAnsi="Arial" w:cs="Arial"/>
          <w:sz w:val="20"/>
          <w:szCs w:val="20"/>
          <w:lang w:val="fr-FR"/>
        </w:rPr>
        <w:t>’</w:t>
      </w:r>
      <w:r w:rsidRPr="00A86354">
        <w:rPr>
          <w:rFonts w:ascii="Arial" w:hAnsi="Arial" w:cs="Arial"/>
          <w:sz w:val="20"/>
          <w:szCs w:val="20"/>
          <w:lang w:val="fr-FR"/>
        </w:rPr>
        <w:t>ordonnance n° 2014-1090 du 26 septembre 2014.</w:t>
      </w:r>
      <w:r w:rsidRPr="00A86354" w:rsidR="00BE289B">
        <w:rPr>
          <w:rFonts w:ascii="Arial" w:hAnsi="Arial" w:cs="Arial"/>
          <w:sz w:val="20"/>
          <w:szCs w:val="20"/>
          <w:lang w:val="fr-FR"/>
        </w:rPr>
        <w:t xml:space="preserve"> </w:t>
      </w:r>
      <w:r w:rsidRPr="00A86354">
        <w:rPr>
          <w:rFonts w:ascii="Arial" w:hAnsi="Arial" w:cs="Arial"/>
          <w:sz w:val="20"/>
          <w:szCs w:val="20"/>
          <w:lang w:val="fr-FR"/>
        </w:rPr>
        <w:t>Ce délai peut être prorogé pour une durée maximale de trois ans dans le cas où les difficultés techniques ou financières liées à l</w:t>
      </w:r>
      <w:r w:rsidRPr="00A86354" w:rsidR="0006032C">
        <w:rPr>
          <w:rFonts w:ascii="Arial" w:hAnsi="Arial" w:cs="Arial"/>
          <w:sz w:val="20"/>
          <w:szCs w:val="20"/>
          <w:lang w:val="fr-FR"/>
        </w:rPr>
        <w:t>’</w:t>
      </w:r>
      <w:r w:rsidRPr="00A86354">
        <w:rPr>
          <w:rFonts w:ascii="Arial" w:hAnsi="Arial" w:cs="Arial"/>
          <w:sz w:val="20"/>
          <w:szCs w:val="20"/>
          <w:lang w:val="fr-FR"/>
        </w:rPr>
        <w:t>élaboration ou à la programmation du schéma l</w:t>
      </w:r>
      <w:r w:rsidRPr="00A86354" w:rsidR="0006032C">
        <w:rPr>
          <w:rFonts w:ascii="Arial" w:hAnsi="Arial" w:cs="Arial"/>
          <w:sz w:val="20"/>
          <w:szCs w:val="20"/>
          <w:lang w:val="fr-FR"/>
        </w:rPr>
        <w:t>’</w:t>
      </w:r>
      <w:r w:rsidRPr="00A86354">
        <w:rPr>
          <w:rFonts w:ascii="Arial" w:hAnsi="Arial" w:cs="Arial"/>
          <w:sz w:val="20"/>
          <w:szCs w:val="20"/>
          <w:lang w:val="fr-FR"/>
        </w:rPr>
        <w:t>imposent ou dans le cas d</w:t>
      </w:r>
      <w:r w:rsidRPr="00A86354" w:rsidR="0006032C">
        <w:rPr>
          <w:rFonts w:ascii="Arial" w:hAnsi="Arial" w:cs="Arial"/>
          <w:sz w:val="20"/>
          <w:szCs w:val="20"/>
          <w:lang w:val="fr-FR"/>
        </w:rPr>
        <w:t>’</w:t>
      </w:r>
      <w:r w:rsidRPr="00A86354">
        <w:rPr>
          <w:rFonts w:ascii="Arial" w:hAnsi="Arial" w:cs="Arial"/>
          <w:sz w:val="20"/>
          <w:szCs w:val="20"/>
          <w:lang w:val="fr-FR"/>
        </w:rPr>
        <w:t>un rejet d</w:t>
      </w:r>
      <w:r w:rsidRPr="00A86354" w:rsidR="0006032C">
        <w:rPr>
          <w:rFonts w:ascii="Arial" w:hAnsi="Arial" w:cs="Arial"/>
          <w:sz w:val="20"/>
          <w:szCs w:val="20"/>
          <w:lang w:val="fr-FR"/>
        </w:rPr>
        <w:t>’</w:t>
      </w:r>
      <w:r w:rsidRPr="00A86354">
        <w:rPr>
          <w:rFonts w:ascii="Arial" w:hAnsi="Arial" w:cs="Arial"/>
          <w:sz w:val="20"/>
          <w:szCs w:val="20"/>
          <w:lang w:val="fr-FR"/>
        </w:rPr>
        <w:t>un premier schéma.</w:t>
      </w:r>
      <w:r w:rsidRPr="00A86354" w:rsidR="000807D5">
        <w:rPr>
          <w:rFonts w:ascii="Arial" w:hAnsi="Arial" w:cs="Arial"/>
          <w:sz w:val="20"/>
          <w:szCs w:val="20"/>
          <w:lang w:val="fr-FR"/>
        </w:rPr>
        <w:t> »</w:t>
      </w:r>
    </w:p>
    <w:p w:rsidRPr="00A86354" w:rsidR="005D55A5" w:rsidP="00164744" w:rsidRDefault="005D55A5" w14:paraId="0BB8D8F9" w14:textId="77777777">
      <w:pPr>
        <w:rPr>
          <w:rFonts w:ascii="Arial" w:hAnsi="Arial" w:cs="Arial"/>
          <w:lang w:val="fr-FR"/>
        </w:rPr>
      </w:pPr>
    </w:p>
    <w:p w:rsidRPr="00A86354" w:rsidR="00624C66" w:rsidP="00164744" w:rsidRDefault="00624C66" w14:paraId="72C2ACED" w14:textId="77777777">
      <w:pPr>
        <w:keepNext/>
        <w:keepLines/>
        <w:tabs>
          <w:tab w:val="left" w:pos="709"/>
        </w:tabs>
        <w:outlineLvl w:val="1"/>
        <w:rPr>
          <w:rFonts w:ascii="Arial" w:hAnsi="Arial" w:cs="Arial" w:eastAsiaTheme="majorEastAsia"/>
          <w:b/>
          <w:lang w:val="fr-FR"/>
        </w:rPr>
      </w:pPr>
    </w:p>
    <w:p w:rsidRPr="00A86354" w:rsidR="00164744" w:rsidP="00164744" w:rsidRDefault="00683E6E" w14:paraId="3E209EDF" w14:textId="5F08E193">
      <w:pPr>
        <w:keepNext/>
        <w:keepLines/>
        <w:tabs>
          <w:tab w:val="left" w:pos="709"/>
        </w:tabs>
        <w:outlineLvl w:val="1"/>
        <w:rPr>
          <w:rFonts w:ascii="Arial" w:hAnsi="Arial" w:cs="Arial" w:eastAsiaTheme="majorEastAsia"/>
          <w:b/>
          <w:lang w:val="fr-FR"/>
        </w:rPr>
      </w:pPr>
      <w:r w:rsidRPr="00A86354">
        <w:rPr>
          <w:rFonts w:ascii="Arial" w:hAnsi="Arial" w:cs="Arial" w:eastAsiaTheme="majorEastAsia"/>
          <w:b/>
          <w:lang w:val="fr-FR"/>
        </w:rPr>
        <w:t>TEXTES INTERNATIONAUX PERTINENTS</w:t>
      </w:r>
    </w:p>
    <w:p w:rsidRPr="00A86354" w:rsidR="00556302" w:rsidP="00167F92" w:rsidRDefault="00556302" w14:paraId="01DFDB4D" w14:textId="77777777">
      <w:pPr>
        <w:rPr>
          <w:rFonts w:ascii="Arial" w:hAnsi="Arial" w:cs="Arial"/>
          <w:b/>
          <w:bCs/>
          <w:lang w:val="fr-FR"/>
        </w:rPr>
      </w:pPr>
    </w:p>
    <w:p w:rsidRPr="00A86354" w:rsidR="00555199" w:rsidP="00CE016A" w:rsidRDefault="00A04A30" w14:paraId="30B6A4ED" w14:textId="5449CA48">
      <w:pPr>
        <w:pStyle w:val="ListParagraph"/>
        <w:numPr>
          <w:ilvl w:val="3"/>
          <w:numId w:val="1"/>
        </w:numPr>
        <w:ind w:left="0" w:firstLine="0"/>
        <w:rPr>
          <w:rFonts w:cs="Arial"/>
          <w:b/>
          <w:bCs/>
          <w:lang w:val="fr-FR"/>
        </w:rPr>
      </w:pPr>
      <w:bookmarkStart w:name="_Hlk96939224" w:id="6"/>
      <w:r w:rsidRPr="00A86354">
        <w:rPr>
          <w:rFonts w:cs="Arial"/>
          <w:b/>
          <w:bCs/>
          <w:lang w:val="fr-FR"/>
        </w:rPr>
        <w:t>Co</w:t>
      </w:r>
      <w:r w:rsidRPr="00A86354" w:rsidR="008F2810">
        <w:rPr>
          <w:rFonts w:cs="Arial"/>
          <w:b/>
          <w:bCs/>
          <w:lang w:val="fr-FR"/>
        </w:rPr>
        <w:t>nseil de l</w:t>
      </w:r>
      <w:r w:rsidRPr="00A86354" w:rsidR="0006032C">
        <w:rPr>
          <w:rFonts w:cs="Arial"/>
          <w:b/>
          <w:bCs/>
          <w:lang w:val="fr-FR"/>
        </w:rPr>
        <w:t>’</w:t>
      </w:r>
      <w:r w:rsidRPr="00A86354">
        <w:rPr>
          <w:rFonts w:cs="Arial"/>
          <w:b/>
          <w:bCs/>
          <w:lang w:val="fr-FR"/>
        </w:rPr>
        <w:t xml:space="preserve">Europe </w:t>
      </w:r>
    </w:p>
    <w:bookmarkEnd w:id="6"/>
    <w:p w:rsidRPr="00A86354" w:rsidR="00555199" w:rsidP="00555199" w:rsidRDefault="00555199" w14:paraId="1B08A180" w14:textId="63AC3245">
      <w:pPr>
        <w:pStyle w:val="ListParagraph"/>
        <w:rPr>
          <w:rFonts w:cs="Arial"/>
          <w:b/>
          <w:bCs/>
          <w:lang w:val="fr-FR"/>
        </w:rPr>
      </w:pPr>
    </w:p>
    <w:p w:rsidRPr="00A86354" w:rsidR="0025675D" w:rsidP="00555199" w:rsidRDefault="008F2810" w14:paraId="60116A6A" w14:textId="5D5DFB45">
      <w:pPr>
        <w:pStyle w:val="ListParagraph"/>
        <w:rPr>
          <w:rFonts w:cs="Arial"/>
          <w:b/>
          <w:bCs/>
          <w:lang w:val="fr-FR"/>
        </w:rPr>
      </w:pPr>
      <w:r w:rsidRPr="00A86354">
        <w:rPr>
          <w:rFonts w:cs="Arial"/>
          <w:b/>
          <w:bCs/>
          <w:lang w:val="fr-FR"/>
        </w:rPr>
        <w:t>Comité des Ministres</w:t>
      </w:r>
    </w:p>
    <w:p w:rsidRPr="00A86354" w:rsidR="0025675D" w:rsidP="00555199" w:rsidRDefault="0025675D" w14:paraId="1999D466" w14:textId="77777777">
      <w:pPr>
        <w:pStyle w:val="ListParagraph"/>
        <w:rPr>
          <w:rFonts w:cs="Arial"/>
          <w:b/>
          <w:bCs/>
          <w:lang w:val="fr-FR"/>
        </w:rPr>
      </w:pPr>
    </w:p>
    <w:p w:rsidRPr="00A86354" w:rsidR="00D36A3E" w:rsidP="00CE016A" w:rsidRDefault="00D36A3E" w14:paraId="031A6828" w14:textId="1B3A8399">
      <w:pPr>
        <w:pStyle w:val="NormalWeb"/>
        <w:numPr>
          <w:ilvl w:val="0"/>
          <w:numId w:val="1"/>
        </w:numPr>
        <w:shd w:val="clear" w:color="auto" w:fill="FFFFFF"/>
        <w:spacing w:before="0" w:beforeAutospacing="0" w:after="0" w:afterAutospacing="0"/>
        <w:ind w:left="0" w:firstLine="0"/>
        <w:rPr>
          <w:rFonts w:ascii="Arial" w:hAnsi="Arial" w:cs="Arial"/>
          <w:color w:val="000000"/>
          <w:lang w:val="fr-FR"/>
        </w:rPr>
      </w:pPr>
      <w:r w:rsidRPr="00A86354">
        <w:rPr>
          <w:rFonts w:ascii="Arial" w:hAnsi="Arial" w:cs="Arial"/>
          <w:color w:val="000000"/>
          <w:lang w:val="fr-FR"/>
        </w:rPr>
        <w:t>La Stratégie du Conseil de l'Europe relative au handicap 2017-2023, approuvée par le Comité des Ministres le 30 novembre 2016, définit les domaines prioritaires du Conseil de l'Europe dans ce domaine pour la période 2017 à 2023 en fournissant des orientations et une inspiration aux États membres et aux autres parties prenantes sur les politiques, activités et mesures visant à assurer la mise en œuvre de ces priorités aux niveaux national et local. L'objectif général de la stratégie est de parvenir à l'égalité, à la dignité et à l'égalité des chances pour les personnes handicapées, ce qui nécessite de leur assurer l'indépendance, la liberté de choix, la participation pleine et effective dans tous les domaines de la vie et de la société, y compris la vie dans la communauté.</w:t>
      </w:r>
    </w:p>
    <w:p w:rsidRPr="00A86354" w:rsidR="00D36A3E" w:rsidP="00120255" w:rsidRDefault="00D36A3E" w14:paraId="2453E92A" w14:textId="77777777">
      <w:pPr>
        <w:pStyle w:val="NormalWeb"/>
        <w:shd w:val="clear" w:color="auto" w:fill="FFFFFF"/>
        <w:spacing w:before="0" w:beforeAutospacing="0" w:after="0" w:afterAutospacing="0"/>
        <w:rPr>
          <w:rFonts w:ascii="Arial" w:hAnsi="Arial" w:cs="Arial"/>
          <w:color w:val="000000"/>
          <w:lang w:val="fr-FR"/>
        </w:rPr>
      </w:pPr>
    </w:p>
    <w:p w:rsidRPr="00A86354" w:rsidR="00120255" w:rsidP="00CE016A" w:rsidRDefault="00444C88" w14:paraId="432AF5A1" w14:textId="32B8EF21">
      <w:pPr>
        <w:pStyle w:val="NormalWeb"/>
        <w:numPr>
          <w:ilvl w:val="0"/>
          <w:numId w:val="1"/>
        </w:numPr>
        <w:shd w:val="clear" w:color="auto" w:fill="FFFFFF"/>
        <w:spacing w:before="0" w:beforeAutospacing="0" w:after="0" w:afterAutospacing="0"/>
        <w:ind w:left="0" w:firstLine="0"/>
        <w:rPr>
          <w:rFonts w:ascii="Arial" w:hAnsi="Arial" w:cs="Arial"/>
          <w:color w:val="000000"/>
          <w:lang w:val="fr-FR"/>
        </w:rPr>
      </w:pPr>
      <w:r w:rsidRPr="00A86354">
        <w:rPr>
          <w:rFonts w:ascii="Arial" w:hAnsi="Arial" w:cs="Arial"/>
          <w:color w:val="000000"/>
          <w:lang w:val="fr-FR"/>
        </w:rPr>
        <w:t>Les cinq domaines prioritaires sont</w:t>
      </w:r>
      <w:r w:rsidRPr="00A86354" w:rsidR="000807D5">
        <w:rPr>
          <w:rFonts w:ascii="Arial" w:hAnsi="Arial" w:cs="Arial"/>
          <w:color w:val="000000"/>
          <w:lang w:val="fr-FR"/>
        </w:rPr>
        <w:t> :</w:t>
      </w:r>
      <w:r w:rsidRPr="00A86354" w:rsidR="0068273F">
        <w:rPr>
          <w:rFonts w:ascii="Arial" w:hAnsi="Arial" w:cs="Arial"/>
          <w:color w:val="000000"/>
          <w:lang w:val="fr-FR"/>
        </w:rPr>
        <w:t xml:space="preserve"> 1) </w:t>
      </w:r>
      <w:r w:rsidRPr="00A86354">
        <w:rPr>
          <w:rFonts w:ascii="Arial" w:hAnsi="Arial" w:cs="Arial"/>
          <w:color w:val="000000"/>
          <w:lang w:val="fr-FR"/>
        </w:rPr>
        <w:t>l</w:t>
      </w:r>
      <w:r w:rsidRPr="00A86354" w:rsidR="0006032C">
        <w:rPr>
          <w:rFonts w:ascii="Arial" w:hAnsi="Arial" w:cs="Arial"/>
          <w:color w:val="000000"/>
          <w:lang w:val="fr-FR"/>
        </w:rPr>
        <w:t>’</w:t>
      </w:r>
      <w:r w:rsidRPr="00A86354">
        <w:rPr>
          <w:rFonts w:ascii="Arial" w:hAnsi="Arial" w:cs="Arial"/>
          <w:color w:val="000000"/>
          <w:lang w:val="fr-FR"/>
        </w:rPr>
        <w:t>égalité et la</w:t>
      </w:r>
      <w:r w:rsidRPr="00A86354" w:rsidR="0068273F">
        <w:rPr>
          <w:rFonts w:ascii="Arial" w:hAnsi="Arial" w:cs="Arial"/>
          <w:color w:val="000000"/>
          <w:lang w:val="fr-FR"/>
        </w:rPr>
        <w:t xml:space="preserve"> non-discrimination</w:t>
      </w:r>
      <w:r w:rsidRPr="00A86354" w:rsidR="00AB6FA2">
        <w:rPr>
          <w:rFonts w:ascii="Arial" w:hAnsi="Arial" w:cs="Arial"/>
          <w:color w:val="000000"/>
          <w:lang w:val="fr-FR"/>
        </w:rPr>
        <w:t> ;</w:t>
      </w:r>
      <w:r w:rsidRPr="00A86354" w:rsidR="0068273F">
        <w:rPr>
          <w:rFonts w:ascii="Arial" w:hAnsi="Arial" w:cs="Arial"/>
          <w:color w:val="000000"/>
          <w:lang w:val="fr-FR"/>
        </w:rPr>
        <w:t xml:space="preserve"> 2) </w:t>
      </w:r>
      <w:r w:rsidRPr="00A86354">
        <w:rPr>
          <w:rFonts w:ascii="Arial" w:hAnsi="Arial" w:cs="Arial"/>
          <w:color w:val="000000"/>
          <w:lang w:val="fr-FR"/>
        </w:rPr>
        <w:t>la sensibilisation</w:t>
      </w:r>
      <w:r w:rsidRPr="00A86354" w:rsidR="00AB6FA2">
        <w:rPr>
          <w:rFonts w:ascii="Arial" w:hAnsi="Arial" w:cs="Arial"/>
          <w:color w:val="000000"/>
          <w:lang w:val="fr-FR"/>
        </w:rPr>
        <w:t xml:space="preserve"> ; </w:t>
      </w:r>
      <w:r w:rsidRPr="00A86354" w:rsidR="0068273F">
        <w:rPr>
          <w:rFonts w:ascii="Arial" w:hAnsi="Arial" w:cs="Arial"/>
          <w:color w:val="000000"/>
          <w:lang w:val="fr-FR"/>
        </w:rPr>
        <w:t xml:space="preserve">3) </w:t>
      </w:r>
      <w:r w:rsidRPr="00A86354">
        <w:rPr>
          <w:rFonts w:ascii="Arial" w:hAnsi="Arial" w:cs="Arial"/>
          <w:color w:val="000000"/>
          <w:lang w:val="fr-FR"/>
        </w:rPr>
        <w:t>l</w:t>
      </w:r>
      <w:r w:rsidRPr="00A86354" w:rsidR="0006032C">
        <w:rPr>
          <w:rFonts w:ascii="Arial" w:hAnsi="Arial" w:cs="Arial"/>
          <w:color w:val="000000"/>
          <w:lang w:val="fr-FR"/>
        </w:rPr>
        <w:t>’</w:t>
      </w:r>
      <w:r w:rsidRPr="00A86354">
        <w:rPr>
          <w:rFonts w:ascii="Arial" w:hAnsi="Arial" w:cs="Arial"/>
          <w:color w:val="000000"/>
          <w:lang w:val="fr-FR"/>
        </w:rPr>
        <w:t>accessibilité</w:t>
      </w:r>
      <w:r w:rsidRPr="00A86354" w:rsidR="00AB6FA2">
        <w:rPr>
          <w:rFonts w:ascii="Arial" w:hAnsi="Arial" w:cs="Arial"/>
          <w:color w:val="000000"/>
          <w:lang w:val="fr-FR"/>
        </w:rPr>
        <w:t xml:space="preserve"> ; </w:t>
      </w:r>
      <w:r w:rsidRPr="00A86354" w:rsidR="0068273F">
        <w:rPr>
          <w:rFonts w:ascii="Arial" w:hAnsi="Arial" w:cs="Arial"/>
          <w:color w:val="000000"/>
          <w:lang w:val="fr-FR"/>
        </w:rPr>
        <w:t xml:space="preserve">4) </w:t>
      </w:r>
      <w:r w:rsidRPr="00A86354">
        <w:rPr>
          <w:rFonts w:ascii="Arial" w:hAnsi="Arial" w:cs="Arial"/>
          <w:color w:val="000000"/>
          <w:lang w:val="fr-FR"/>
        </w:rPr>
        <w:t>la reconnaissance</w:t>
      </w:r>
      <w:r w:rsidRPr="00A86354" w:rsidR="0068273F">
        <w:rPr>
          <w:rFonts w:ascii="Arial" w:hAnsi="Arial" w:cs="Arial"/>
          <w:color w:val="000000"/>
          <w:lang w:val="fr-FR"/>
        </w:rPr>
        <w:t xml:space="preserve"> </w:t>
      </w:r>
      <w:r w:rsidRPr="00A86354">
        <w:rPr>
          <w:rFonts w:ascii="Arial" w:hAnsi="Arial" w:cs="Arial"/>
          <w:color w:val="000000"/>
          <w:lang w:val="fr-FR"/>
        </w:rPr>
        <w:t>de la personnalité juridique dans des conditions d</w:t>
      </w:r>
      <w:r w:rsidRPr="00A86354" w:rsidR="0006032C">
        <w:rPr>
          <w:rFonts w:ascii="Arial" w:hAnsi="Arial" w:cs="Arial"/>
          <w:color w:val="000000"/>
          <w:lang w:val="fr-FR"/>
        </w:rPr>
        <w:t>’</w:t>
      </w:r>
      <w:r w:rsidRPr="00A86354">
        <w:rPr>
          <w:rFonts w:ascii="Arial" w:hAnsi="Arial" w:cs="Arial"/>
          <w:color w:val="000000"/>
          <w:lang w:val="fr-FR"/>
        </w:rPr>
        <w:t xml:space="preserve">égalité </w:t>
      </w:r>
      <w:r w:rsidRPr="00A86354" w:rsidR="00AB6FA2">
        <w:rPr>
          <w:rFonts w:ascii="Arial" w:hAnsi="Arial" w:cs="Arial"/>
          <w:color w:val="000000"/>
          <w:lang w:val="fr-FR"/>
        </w:rPr>
        <w:t xml:space="preserve">et </w:t>
      </w:r>
      <w:r w:rsidRPr="00A86354" w:rsidR="0068273F">
        <w:rPr>
          <w:rFonts w:ascii="Arial" w:hAnsi="Arial" w:cs="Arial"/>
          <w:color w:val="000000"/>
          <w:lang w:val="fr-FR"/>
        </w:rPr>
        <w:t xml:space="preserve">5) </w:t>
      </w:r>
      <w:r w:rsidRPr="00A86354">
        <w:rPr>
          <w:rFonts w:ascii="Arial" w:hAnsi="Arial" w:cs="Arial"/>
          <w:color w:val="000000"/>
          <w:lang w:val="fr-FR"/>
        </w:rPr>
        <w:t>le droit de ne pas être soumis à l</w:t>
      </w:r>
      <w:r w:rsidRPr="00A86354" w:rsidR="0006032C">
        <w:rPr>
          <w:rFonts w:ascii="Arial" w:hAnsi="Arial" w:cs="Arial"/>
          <w:color w:val="000000"/>
          <w:lang w:val="fr-FR"/>
        </w:rPr>
        <w:t>’</w:t>
      </w:r>
      <w:r w:rsidRPr="00A86354">
        <w:rPr>
          <w:rFonts w:ascii="Arial" w:hAnsi="Arial" w:cs="Arial"/>
          <w:color w:val="000000"/>
          <w:lang w:val="fr-FR"/>
        </w:rPr>
        <w:t>exploitation, à la violence et à la maltraitance</w:t>
      </w:r>
      <w:r w:rsidRPr="00A86354" w:rsidR="0068273F">
        <w:rPr>
          <w:rFonts w:ascii="Arial" w:hAnsi="Arial" w:cs="Arial"/>
          <w:color w:val="000000"/>
          <w:lang w:val="fr-FR"/>
        </w:rPr>
        <w:t xml:space="preserve">. </w:t>
      </w:r>
    </w:p>
    <w:p w:rsidRPr="00A86354" w:rsidR="00120255" w:rsidP="00120255" w:rsidRDefault="00120255" w14:paraId="588D6365" w14:textId="77777777">
      <w:pPr>
        <w:pStyle w:val="NormalWeb"/>
        <w:shd w:val="clear" w:color="auto" w:fill="FFFFFF"/>
        <w:spacing w:before="0" w:beforeAutospacing="0" w:after="0" w:afterAutospacing="0"/>
        <w:rPr>
          <w:rFonts w:ascii="Arial" w:hAnsi="Arial" w:cs="Arial"/>
          <w:color w:val="000000"/>
          <w:lang w:val="fr-FR"/>
        </w:rPr>
      </w:pPr>
    </w:p>
    <w:p w:rsidRPr="00A86354" w:rsidR="00EE453F" w:rsidP="00CE016A" w:rsidRDefault="00A84331" w14:paraId="27922B4D" w14:textId="65251D1F">
      <w:pPr>
        <w:pStyle w:val="NormalWeb"/>
        <w:numPr>
          <w:ilvl w:val="0"/>
          <w:numId w:val="1"/>
        </w:numPr>
        <w:shd w:val="clear" w:color="auto" w:fill="FFFFFF"/>
        <w:spacing w:before="0" w:beforeAutospacing="0" w:after="0" w:afterAutospacing="0"/>
        <w:ind w:left="0" w:firstLine="0"/>
        <w:rPr>
          <w:rFonts w:ascii="Arial" w:hAnsi="Arial" w:cs="Arial"/>
          <w:color w:val="000000"/>
          <w:lang w:val="fr-FR"/>
        </w:rPr>
      </w:pPr>
      <w:r w:rsidRPr="00A86354">
        <w:rPr>
          <w:rFonts w:ascii="Arial" w:hAnsi="Arial" w:cs="Arial"/>
          <w:color w:val="000000"/>
          <w:shd w:val="clear" w:color="auto" w:fill="FFFFFF"/>
          <w:lang w:val="fr-FR"/>
        </w:rPr>
        <w:t>La stratégie identifie également cinq thèmes transversaux qui doivent être pris en compte dans tous les travaux du Conseil de l</w:t>
      </w:r>
      <w:r w:rsidRPr="00A86354" w:rsidR="0006032C">
        <w:rPr>
          <w:rFonts w:ascii="Arial" w:hAnsi="Arial" w:cs="Arial"/>
          <w:color w:val="000000"/>
          <w:shd w:val="clear" w:color="auto" w:fill="FFFFFF"/>
          <w:lang w:val="fr-FR"/>
        </w:rPr>
        <w:t>’</w:t>
      </w:r>
      <w:r w:rsidRPr="00A86354">
        <w:rPr>
          <w:rFonts w:ascii="Arial" w:hAnsi="Arial" w:cs="Arial"/>
          <w:color w:val="000000"/>
          <w:shd w:val="clear" w:color="auto" w:fill="FFFFFF"/>
          <w:lang w:val="fr-FR"/>
        </w:rPr>
        <w:t xml:space="preserve">Europe et que les États membres </w:t>
      </w:r>
      <w:r w:rsidRPr="00A86354">
        <w:rPr>
          <w:rFonts w:ascii="Arial" w:hAnsi="Arial" w:cs="Arial"/>
          <w:color w:val="000000"/>
          <w:shd w:val="clear" w:color="auto" w:fill="FFFFFF"/>
          <w:lang w:val="fr-FR"/>
        </w:rPr>
        <w:lastRenderedPageBreak/>
        <w:t>doivent prendre en considération dans leur législation, leurs politiques, leurs activités et dans tous les domaines de la vie afin améliorer la vie des personnes handicapées</w:t>
      </w:r>
      <w:r w:rsidRPr="00A86354" w:rsidR="00120255">
        <w:rPr>
          <w:rFonts w:ascii="Arial" w:hAnsi="Arial" w:cs="Arial"/>
          <w:color w:val="000000"/>
          <w:shd w:val="clear" w:color="auto" w:fill="FFFFFF"/>
          <w:lang w:val="fr-FR"/>
        </w:rPr>
        <w:t xml:space="preserve">. </w:t>
      </w:r>
      <w:r w:rsidRPr="00A86354">
        <w:rPr>
          <w:rFonts w:ascii="Arial" w:hAnsi="Arial" w:cs="Arial"/>
          <w:color w:val="000000"/>
          <w:shd w:val="clear" w:color="auto" w:fill="FFFFFF"/>
          <w:lang w:val="fr-FR"/>
        </w:rPr>
        <w:t>Ces thèmes transversaux sont les suivants</w:t>
      </w:r>
      <w:r w:rsidRPr="00A86354" w:rsidR="000807D5">
        <w:rPr>
          <w:rFonts w:ascii="Arial" w:hAnsi="Arial" w:cs="Arial"/>
          <w:color w:val="000000"/>
          <w:shd w:val="clear" w:color="auto" w:fill="FFFFFF"/>
          <w:lang w:val="fr-FR"/>
        </w:rPr>
        <w:t> :</w:t>
      </w:r>
      <w:r w:rsidRPr="00A86354" w:rsidR="00120255">
        <w:rPr>
          <w:rFonts w:ascii="Arial" w:hAnsi="Arial" w:cs="Arial"/>
          <w:color w:val="000000"/>
          <w:shd w:val="clear" w:color="auto" w:fill="FFFFFF"/>
          <w:lang w:val="fr-FR"/>
        </w:rPr>
        <w:t xml:space="preserve"> 1) </w:t>
      </w:r>
      <w:r w:rsidRPr="00A86354">
        <w:rPr>
          <w:rFonts w:ascii="Arial" w:hAnsi="Arial" w:cs="Arial"/>
          <w:color w:val="000000"/>
          <w:shd w:val="clear" w:color="auto" w:fill="FFFFFF"/>
          <w:lang w:val="fr-FR"/>
        </w:rPr>
        <w:t>participation, coopération et coordination</w:t>
      </w:r>
      <w:r w:rsidRPr="00A86354" w:rsidR="000807D5">
        <w:rPr>
          <w:rFonts w:ascii="Arial" w:hAnsi="Arial" w:cs="Arial"/>
          <w:color w:val="000000"/>
          <w:shd w:val="clear" w:color="auto" w:fill="FFFFFF"/>
          <w:lang w:val="fr-FR"/>
        </w:rPr>
        <w:t> ;</w:t>
      </w:r>
      <w:r w:rsidRPr="00A86354">
        <w:rPr>
          <w:rFonts w:ascii="Arial" w:hAnsi="Arial" w:cs="Arial"/>
          <w:color w:val="000000"/>
          <w:shd w:val="clear" w:color="auto" w:fill="FFFFFF"/>
          <w:lang w:val="fr-FR"/>
        </w:rPr>
        <w:t xml:space="preserve"> </w:t>
      </w:r>
      <w:r w:rsidRPr="00A86354" w:rsidR="00120255">
        <w:rPr>
          <w:rFonts w:ascii="Arial" w:hAnsi="Arial" w:cs="Arial"/>
          <w:color w:val="000000"/>
          <w:shd w:val="clear" w:color="auto" w:fill="FFFFFF"/>
          <w:lang w:val="fr-FR"/>
        </w:rPr>
        <w:t xml:space="preserve">2) </w:t>
      </w:r>
      <w:r w:rsidRPr="00A86354">
        <w:rPr>
          <w:rFonts w:ascii="Arial" w:hAnsi="Arial" w:cs="Arial"/>
          <w:color w:val="000000"/>
          <w:shd w:val="clear" w:color="auto" w:fill="FFFFFF"/>
          <w:lang w:val="fr-FR"/>
        </w:rPr>
        <w:t xml:space="preserve">conception universelle et aménagement raisonnable </w:t>
      </w:r>
      <w:r w:rsidRPr="00A86354" w:rsidR="00EE453F">
        <w:rPr>
          <w:rFonts w:ascii="Arial" w:hAnsi="Arial" w:cs="Arial"/>
          <w:color w:val="000000"/>
          <w:shd w:val="clear" w:color="auto" w:fill="FFFFFF"/>
          <w:lang w:val="fr-FR"/>
        </w:rPr>
        <w:t>(</w:t>
      </w:r>
      <w:r w:rsidRPr="00A86354">
        <w:rPr>
          <w:rFonts w:ascii="Arial" w:hAnsi="Arial" w:cs="Arial"/>
          <w:color w:val="000000"/>
          <w:shd w:val="clear" w:color="auto" w:fill="FFFFFF"/>
          <w:lang w:val="fr-FR"/>
        </w:rPr>
        <w:t>définie</w:t>
      </w:r>
      <w:r w:rsidRPr="00A86354" w:rsidR="00EE453F">
        <w:rPr>
          <w:rFonts w:ascii="Arial" w:hAnsi="Arial" w:cs="Arial"/>
          <w:color w:val="000000"/>
          <w:shd w:val="clear" w:color="auto" w:fill="FFFFFF"/>
          <w:lang w:val="fr-FR"/>
        </w:rPr>
        <w:t>,</w:t>
      </w:r>
      <w:r w:rsidRPr="00A86354">
        <w:rPr>
          <w:rFonts w:ascii="Arial" w:hAnsi="Arial" w:cs="Arial"/>
          <w:color w:val="000000"/>
          <w:shd w:val="clear" w:color="auto" w:fill="FFFFFF"/>
          <w:lang w:val="fr-FR"/>
        </w:rPr>
        <w:t xml:space="preserve"> aux termes de l</w:t>
      </w:r>
      <w:r w:rsidRPr="00A86354" w:rsidR="0006032C">
        <w:rPr>
          <w:rFonts w:ascii="Arial" w:hAnsi="Arial" w:cs="Arial"/>
          <w:color w:val="000000"/>
          <w:shd w:val="clear" w:color="auto" w:fill="FFFFFF"/>
          <w:lang w:val="fr-FR"/>
        </w:rPr>
        <w:t>’</w:t>
      </w:r>
      <w:r w:rsidRPr="00A86354">
        <w:rPr>
          <w:rFonts w:ascii="Arial" w:hAnsi="Arial" w:cs="Arial"/>
          <w:color w:val="000000"/>
          <w:shd w:val="clear" w:color="auto" w:fill="FFFFFF"/>
          <w:lang w:val="fr-FR"/>
        </w:rPr>
        <w:t>a</w:t>
      </w:r>
      <w:r w:rsidRPr="00A86354" w:rsidR="00EE453F">
        <w:rPr>
          <w:rFonts w:ascii="Arial" w:hAnsi="Arial" w:cs="Arial"/>
          <w:color w:val="000000"/>
          <w:shd w:val="clear" w:color="auto" w:fill="FFFFFF"/>
          <w:lang w:val="fr-FR"/>
        </w:rPr>
        <w:t xml:space="preserve">rticle 2 </w:t>
      </w:r>
      <w:r w:rsidRPr="00A86354">
        <w:rPr>
          <w:rFonts w:ascii="Arial" w:hAnsi="Arial" w:cs="Arial"/>
          <w:color w:val="000000"/>
          <w:shd w:val="clear" w:color="auto" w:fill="FFFFFF"/>
          <w:lang w:val="fr-FR"/>
        </w:rPr>
        <w:t xml:space="preserve">de la CIDPH, comme comprenant </w:t>
      </w:r>
      <w:r w:rsidRPr="00A86354" w:rsidR="000807D5">
        <w:rPr>
          <w:rFonts w:ascii="Arial" w:hAnsi="Arial" w:cs="Arial"/>
          <w:color w:val="000000"/>
          <w:shd w:val="clear" w:color="auto" w:fill="FFFFFF"/>
          <w:lang w:val="fr-FR"/>
        </w:rPr>
        <w:t>« </w:t>
      </w:r>
      <w:r w:rsidRPr="00A86354">
        <w:rPr>
          <w:rFonts w:ascii="Arial" w:hAnsi="Arial" w:cs="Arial"/>
          <w:color w:val="000000"/>
          <w:shd w:val="clear" w:color="auto" w:fill="FFFFFF"/>
          <w:lang w:val="fr-FR"/>
        </w:rPr>
        <w:t>les modifications et ajustements nécessaires et appropriés pour assurer aux personnes handicapées la jouissance ou l</w:t>
      </w:r>
      <w:r w:rsidRPr="00A86354" w:rsidR="0006032C">
        <w:rPr>
          <w:rFonts w:ascii="Arial" w:hAnsi="Arial" w:cs="Arial"/>
          <w:color w:val="000000"/>
          <w:shd w:val="clear" w:color="auto" w:fill="FFFFFF"/>
          <w:lang w:val="fr-FR"/>
        </w:rPr>
        <w:t>’</w:t>
      </w:r>
      <w:r w:rsidRPr="00A86354">
        <w:rPr>
          <w:rFonts w:ascii="Arial" w:hAnsi="Arial" w:cs="Arial"/>
          <w:color w:val="000000"/>
          <w:shd w:val="clear" w:color="auto" w:fill="FFFFFF"/>
          <w:lang w:val="fr-FR"/>
        </w:rPr>
        <w:t>exercice, sur la base de l</w:t>
      </w:r>
      <w:r w:rsidRPr="00A86354" w:rsidR="0006032C">
        <w:rPr>
          <w:rFonts w:ascii="Arial" w:hAnsi="Arial" w:cs="Arial"/>
          <w:color w:val="000000"/>
          <w:shd w:val="clear" w:color="auto" w:fill="FFFFFF"/>
          <w:lang w:val="fr-FR"/>
        </w:rPr>
        <w:t>’</w:t>
      </w:r>
      <w:r w:rsidRPr="00A86354">
        <w:rPr>
          <w:rFonts w:ascii="Arial" w:hAnsi="Arial" w:cs="Arial"/>
          <w:color w:val="000000"/>
          <w:shd w:val="clear" w:color="auto" w:fill="FFFFFF"/>
          <w:lang w:val="fr-FR"/>
        </w:rPr>
        <w:t>égalité avec les autres, de tous les droits de l</w:t>
      </w:r>
      <w:r w:rsidRPr="00A86354" w:rsidR="0006032C">
        <w:rPr>
          <w:rFonts w:ascii="Arial" w:hAnsi="Arial" w:cs="Arial"/>
          <w:color w:val="000000"/>
          <w:shd w:val="clear" w:color="auto" w:fill="FFFFFF"/>
          <w:lang w:val="fr-FR"/>
        </w:rPr>
        <w:t>’</w:t>
      </w:r>
      <w:r w:rsidRPr="00A86354">
        <w:rPr>
          <w:rFonts w:ascii="Arial" w:hAnsi="Arial" w:cs="Arial"/>
          <w:color w:val="000000"/>
          <w:shd w:val="clear" w:color="auto" w:fill="FFFFFF"/>
          <w:lang w:val="fr-FR"/>
        </w:rPr>
        <w:t>homme et de toutes les libertés fondamentales</w:t>
      </w:r>
      <w:r w:rsidRPr="00A86354" w:rsidR="000807D5">
        <w:rPr>
          <w:rFonts w:ascii="Arial" w:hAnsi="Arial" w:cs="Arial"/>
          <w:color w:val="000000"/>
          <w:shd w:val="clear" w:color="auto" w:fill="FFFFFF"/>
          <w:lang w:val="fr-FR"/>
        </w:rPr>
        <w:t> »</w:t>
      </w:r>
      <w:r w:rsidRPr="00A86354">
        <w:rPr>
          <w:rFonts w:ascii="Arial" w:hAnsi="Arial" w:cs="Arial"/>
          <w:color w:val="000000"/>
          <w:shd w:val="clear" w:color="auto" w:fill="FFFFFF"/>
          <w:lang w:val="fr-FR"/>
        </w:rPr>
        <w:t>)</w:t>
      </w:r>
      <w:r w:rsidRPr="00A86354" w:rsidR="000807D5">
        <w:rPr>
          <w:rFonts w:ascii="Arial" w:hAnsi="Arial" w:cs="Arial"/>
          <w:color w:val="000000"/>
          <w:shd w:val="clear" w:color="auto" w:fill="FFFFFF"/>
          <w:lang w:val="fr-FR"/>
        </w:rPr>
        <w:t> ;</w:t>
      </w:r>
      <w:r w:rsidRPr="00A86354">
        <w:rPr>
          <w:rFonts w:ascii="Arial" w:hAnsi="Arial" w:cs="Arial"/>
          <w:color w:val="000000"/>
          <w:shd w:val="clear" w:color="auto" w:fill="FFFFFF"/>
          <w:lang w:val="fr-FR"/>
        </w:rPr>
        <w:t xml:space="preserve"> </w:t>
      </w:r>
      <w:r w:rsidRPr="00A86354" w:rsidR="00120255">
        <w:rPr>
          <w:rFonts w:ascii="Arial" w:hAnsi="Arial" w:cs="Arial"/>
          <w:color w:val="000000"/>
          <w:shd w:val="clear" w:color="auto" w:fill="FFFFFF"/>
          <w:lang w:val="fr-FR"/>
        </w:rPr>
        <w:t xml:space="preserve">3) </w:t>
      </w:r>
      <w:r w:rsidRPr="00A86354">
        <w:rPr>
          <w:rFonts w:ascii="Arial" w:hAnsi="Arial" w:cs="Arial"/>
          <w:color w:val="000000"/>
          <w:shd w:val="clear" w:color="auto" w:fill="FFFFFF"/>
          <w:lang w:val="fr-FR"/>
        </w:rPr>
        <w:t>perspective d</w:t>
      </w:r>
      <w:r w:rsidRPr="00A86354" w:rsidR="0006032C">
        <w:rPr>
          <w:rFonts w:ascii="Arial" w:hAnsi="Arial" w:cs="Arial"/>
          <w:color w:val="000000"/>
          <w:shd w:val="clear" w:color="auto" w:fill="FFFFFF"/>
          <w:lang w:val="fr-FR"/>
        </w:rPr>
        <w:t>’</w:t>
      </w:r>
      <w:r w:rsidRPr="00A86354">
        <w:rPr>
          <w:rFonts w:ascii="Arial" w:hAnsi="Arial" w:cs="Arial"/>
          <w:color w:val="000000"/>
          <w:shd w:val="clear" w:color="auto" w:fill="FFFFFF"/>
          <w:lang w:val="fr-FR"/>
        </w:rPr>
        <w:t>égalité de genre</w:t>
      </w:r>
      <w:r w:rsidRPr="00A86354" w:rsidR="000807D5">
        <w:rPr>
          <w:rFonts w:ascii="Arial" w:hAnsi="Arial" w:cs="Arial"/>
          <w:color w:val="000000"/>
          <w:shd w:val="clear" w:color="auto" w:fill="FFFFFF"/>
          <w:lang w:val="fr-FR"/>
        </w:rPr>
        <w:t> ;</w:t>
      </w:r>
      <w:r w:rsidRPr="00A86354" w:rsidR="00120255">
        <w:rPr>
          <w:rFonts w:ascii="Arial" w:hAnsi="Arial" w:cs="Arial"/>
          <w:color w:val="000000"/>
          <w:shd w:val="clear" w:color="auto" w:fill="FFFFFF"/>
          <w:lang w:val="fr-FR"/>
        </w:rPr>
        <w:t xml:space="preserve"> 4) </w:t>
      </w:r>
      <w:r w:rsidRPr="00A86354">
        <w:rPr>
          <w:rFonts w:ascii="Arial" w:hAnsi="Arial" w:cs="Arial"/>
          <w:color w:val="000000"/>
          <w:shd w:val="clear" w:color="auto" w:fill="FFFFFF"/>
          <w:lang w:val="fr-FR"/>
        </w:rPr>
        <w:t>discrimination multiple</w:t>
      </w:r>
      <w:r w:rsidRPr="00A86354" w:rsidR="000807D5">
        <w:rPr>
          <w:rFonts w:ascii="Arial" w:hAnsi="Arial" w:cs="Arial"/>
          <w:color w:val="000000"/>
          <w:shd w:val="clear" w:color="auto" w:fill="FFFFFF"/>
          <w:lang w:val="fr-FR"/>
        </w:rPr>
        <w:t> ;</w:t>
      </w:r>
      <w:r w:rsidRPr="00A86354">
        <w:rPr>
          <w:rFonts w:ascii="Arial" w:hAnsi="Arial" w:cs="Arial"/>
          <w:color w:val="000000"/>
          <w:shd w:val="clear" w:color="auto" w:fill="FFFFFF"/>
          <w:lang w:val="fr-FR"/>
        </w:rPr>
        <w:t xml:space="preserve"> </w:t>
      </w:r>
      <w:r w:rsidRPr="00A86354" w:rsidR="00120255">
        <w:rPr>
          <w:rFonts w:ascii="Arial" w:hAnsi="Arial" w:cs="Arial"/>
          <w:color w:val="000000"/>
          <w:shd w:val="clear" w:color="auto" w:fill="FFFFFF"/>
          <w:lang w:val="fr-FR"/>
        </w:rPr>
        <w:t xml:space="preserve">5) </w:t>
      </w:r>
      <w:r w:rsidRPr="00A86354">
        <w:rPr>
          <w:rFonts w:ascii="Arial" w:hAnsi="Arial" w:cs="Arial"/>
          <w:color w:val="000000"/>
          <w:shd w:val="clear" w:color="auto" w:fill="FFFFFF"/>
          <w:lang w:val="fr-FR"/>
        </w:rPr>
        <w:t>é</w:t>
      </w:r>
      <w:r w:rsidRPr="00A86354" w:rsidR="00120255">
        <w:rPr>
          <w:rFonts w:ascii="Arial" w:hAnsi="Arial" w:cs="Arial"/>
          <w:color w:val="000000"/>
          <w:shd w:val="clear" w:color="auto" w:fill="FFFFFF"/>
          <w:lang w:val="fr-FR"/>
        </w:rPr>
        <w:t xml:space="preserve">ducation </w:t>
      </w:r>
      <w:r w:rsidRPr="00A86354">
        <w:rPr>
          <w:rFonts w:ascii="Arial" w:hAnsi="Arial" w:cs="Arial"/>
          <w:color w:val="000000"/>
          <w:shd w:val="clear" w:color="auto" w:fill="FFFFFF"/>
          <w:lang w:val="fr-FR"/>
        </w:rPr>
        <w:t>et formation</w:t>
      </w:r>
      <w:r w:rsidRPr="00A86354" w:rsidR="00120255">
        <w:rPr>
          <w:rFonts w:ascii="Arial" w:hAnsi="Arial" w:cs="Arial"/>
          <w:color w:val="000000"/>
          <w:shd w:val="clear" w:color="auto" w:fill="FFFFFF"/>
          <w:lang w:val="fr-FR"/>
        </w:rPr>
        <w:t>.</w:t>
      </w:r>
    </w:p>
    <w:p w:rsidRPr="00A86354" w:rsidR="00EE453F" w:rsidP="00120255" w:rsidRDefault="00EE453F" w14:paraId="1D32114E" w14:textId="77777777">
      <w:pPr>
        <w:rPr>
          <w:rFonts w:ascii="Arial" w:hAnsi="Arial" w:cs="Arial"/>
          <w:b/>
          <w:bCs/>
          <w:lang w:val="fr-FR"/>
        </w:rPr>
      </w:pPr>
    </w:p>
    <w:p w:rsidRPr="00A86354" w:rsidR="00624C66" w:rsidP="00CE016A" w:rsidRDefault="00A84331" w14:paraId="09FD10A4" w14:textId="77777777">
      <w:pPr>
        <w:pStyle w:val="ListParagraph"/>
        <w:numPr>
          <w:ilvl w:val="0"/>
          <w:numId w:val="1"/>
        </w:numPr>
        <w:ind w:left="0" w:firstLine="0"/>
        <w:rPr>
          <w:rFonts w:cs="Arial"/>
          <w:b/>
          <w:bCs/>
          <w:lang w:val="fr-FR"/>
        </w:rPr>
      </w:pPr>
      <w:r w:rsidRPr="00A86354">
        <w:rPr>
          <w:rFonts w:eastAsia="Calibri" w:cs="Arial"/>
          <w:lang w:val="fr-FR"/>
        </w:rPr>
        <w:t>Dans</w:t>
      </w:r>
      <w:r w:rsidRPr="00A86354" w:rsidR="00B73C45">
        <w:rPr>
          <w:rFonts w:eastAsia="Calibri" w:cs="Arial"/>
          <w:lang w:val="fr-FR"/>
        </w:rPr>
        <w:t xml:space="preserve"> </w:t>
      </w:r>
      <w:r w:rsidRPr="00A86354">
        <w:rPr>
          <w:rFonts w:eastAsia="Calibri" w:cs="Arial"/>
          <w:lang w:val="fr-FR"/>
        </w:rPr>
        <w:t>sa Recommandation n°</w:t>
      </w:r>
      <w:r w:rsidRPr="00A86354" w:rsidR="00B73C45">
        <w:rPr>
          <w:rFonts w:eastAsia="Calibri" w:cs="Arial"/>
          <w:lang w:val="fr-FR"/>
        </w:rPr>
        <w:t xml:space="preserve"> R(92)6 </w:t>
      </w:r>
      <w:r w:rsidRPr="00A86354">
        <w:rPr>
          <w:rFonts w:eastAsia="Calibri" w:cs="Arial"/>
          <w:lang w:val="fr-FR"/>
        </w:rPr>
        <w:t>relative à une politique cohérente</w:t>
      </w:r>
      <w:r w:rsidRPr="00A86354" w:rsidR="00B73C45">
        <w:rPr>
          <w:rFonts w:eastAsia="Calibri" w:cs="Arial"/>
          <w:lang w:val="fr-FR"/>
        </w:rPr>
        <w:t xml:space="preserve"> </w:t>
      </w:r>
      <w:r w:rsidRPr="00A86354">
        <w:rPr>
          <w:rFonts w:eastAsia="Calibri" w:cs="Arial"/>
          <w:lang w:val="fr-FR"/>
        </w:rPr>
        <w:t>pour les personnes handicapées, le Comité des Ministres considère que</w:t>
      </w:r>
      <w:r w:rsidRPr="00A86354" w:rsidR="00B73C45">
        <w:rPr>
          <w:rFonts w:eastAsia="Calibri" w:cs="Arial"/>
          <w:lang w:val="fr-FR"/>
        </w:rPr>
        <w:t xml:space="preserve"> </w:t>
      </w:r>
    </w:p>
    <w:p w:rsidRPr="00A86354" w:rsidR="00624C66" w:rsidP="00624C66" w:rsidRDefault="00624C66" w14:paraId="5615E30A" w14:textId="77777777">
      <w:pPr>
        <w:ind w:left="360" w:hanging="360"/>
        <w:rPr>
          <w:rFonts w:eastAsia="Calibri" w:cs="Arial"/>
          <w:lang w:val="fr-FR"/>
        </w:rPr>
      </w:pPr>
    </w:p>
    <w:p w:rsidRPr="00A86354" w:rsidR="00556302" w:rsidP="00A86354" w:rsidRDefault="000807D5" w14:paraId="39F1FFB1" w14:textId="0B97B560">
      <w:pPr>
        <w:ind w:left="709"/>
        <w:rPr>
          <w:rFonts w:ascii="Arial" w:hAnsi="Arial" w:eastAsia="Calibri" w:cs="Arial"/>
          <w:sz w:val="20"/>
          <w:szCs w:val="20"/>
          <w:lang w:val="fr-FR"/>
        </w:rPr>
      </w:pPr>
      <w:r w:rsidRPr="00A86354">
        <w:rPr>
          <w:rFonts w:ascii="Arial" w:hAnsi="Arial" w:eastAsia="Calibri" w:cs="Arial"/>
          <w:sz w:val="20"/>
          <w:szCs w:val="20"/>
          <w:lang w:val="fr-FR"/>
        </w:rPr>
        <w:t>« </w:t>
      </w:r>
      <w:r w:rsidRPr="00A86354" w:rsidR="00A84331">
        <w:rPr>
          <w:rFonts w:ascii="Arial" w:hAnsi="Arial" w:eastAsia="Calibri" w:cs="Arial"/>
          <w:sz w:val="20"/>
          <w:szCs w:val="20"/>
          <w:lang w:val="fr-FR"/>
        </w:rPr>
        <w:t>les États doivent</w:t>
      </w:r>
      <w:r w:rsidRPr="00A86354" w:rsidR="00DF7F52">
        <w:rPr>
          <w:rFonts w:ascii="Arial" w:hAnsi="Arial" w:eastAsia="Calibri" w:cs="Arial"/>
          <w:sz w:val="20"/>
          <w:szCs w:val="20"/>
          <w:lang w:val="fr-FR"/>
        </w:rPr>
        <w:t xml:space="preserve"> </w:t>
      </w:r>
      <w:r w:rsidRPr="00A86354" w:rsidR="002C5D46">
        <w:rPr>
          <w:rFonts w:ascii="Arial" w:hAnsi="Arial" w:eastAsia="Calibri" w:cs="Arial"/>
          <w:sz w:val="20"/>
          <w:szCs w:val="20"/>
          <w:lang w:val="fr-FR"/>
        </w:rPr>
        <w:t>[...]</w:t>
      </w:r>
      <w:r w:rsidRPr="00A86354" w:rsidR="00DF7F52">
        <w:rPr>
          <w:rFonts w:ascii="Arial" w:hAnsi="Arial" w:eastAsia="Calibri" w:cs="Arial"/>
          <w:sz w:val="20"/>
          <w:szCs w:val="20"/>
          <w:lang w:val="fr-FR"/>
        </w:rPr>
        <w:t xml:space="preserve"> </w:t>
      </w:r>
      <w:r w:rsidRPr="00A86354" w:rsidR="00A84331">
        <w:rPr>
          <w:rFonts w:ascii="Arial" w:hAnsi="Arial" w:eastAsia="Calibri" w:cs="Arial"/>
          <w:sz w:val="20"/>
          <w:szCs w:val="20"/>
          <w:lang w:val="fr-FR"/>
        </w:rPr>
        <w:t>mener une politique cohérente,</w:t>
      </w:r>
      <w:r w:rsidRPr="00A86354" w:rsidR="00DF7F52">
        <w:rPr>
          <w:rFonts w:ascii="Arial" w:hAnsi="Arial" w:eastAsia="Calibri" w:cs="Arial"/>
          <w:sz w:val="20"/>
          <w:szCs w:val="20"/>
          <w:lang w:val="fr-FR"/>
        </w:rPr>
        <w:t xml:space="preserve"> global</w:t>
      </w:r>
      <w:r w:rsidRPr="00A86354" w:rsidR="00A84331">
        <w:rPr>
          <w:rFonts w:ascii="Arial" w:hAnsi="Arial" w:eastAsia="Calibri" w:cs="Arial"/>
          <w:sz w:val="20"/>
          <w:szCs w:val="20"/>
          <w:lang w:val="fr-FR"/>
        </w:rPr>
        <w:t>e et vaste en coopération avec les personnes handicapées et les associations de handicapés et pour les handicapés</w:t>
      </w:r>
      <w:r w:rsidRPr="00A86354" w:rsidR="00DF7F52">
        <w:rPr>
          <w:rFonts w:ascii="Arial" w:hAnsi="Arial" w:eastAsia="Calibri" w:cs="Arial"/>
          <w:sz w:val="20"/>
          <w:szCs w:val="20"/>
          <w:lang w:val="fr-FR"/>
        </w:rPr>
        <w:t xml:space="preserve">, </w:t>
      </w:r>
      <w:r w:rsidRPr="00A86354" w:rsidR="005F0C4B">
        <w:rPr>
          <w:rFonts w:ascii="Arial" w:hAnsi="Arial" w:eastAsia="Calibri" w:cs="Arial"/>
          <w:sz w:val="20"/>
          <w:szCs w:val="20"/>
          <w:lang w:val="fr-FR"/>
        </w:rPr>
        <w:t>afin d</w:t>
      </w:r>
      <w:r w:rsidRPr="00A86354" w:rsidR="0006032C">
        <w:rPr>
          <w:rFonts w:ascii="Arial" w:hAnsi="Arial" w:eastAsia="Calibri" w:cs="Arial"/>
          <w:sz w:val="20"/>
          <w:szCs w:val="20"/>
          <w:lang w:val="fr-FR"/>
        </w:rPr>
        <w:t>’</w:t>
      </w:r>
      <w:r w:rsidRPr="00A86354" w:rsidR="005F0C4B">
        <w:rPr>
          <w:rFonts w:ascii="Arial" w:hAnsi="Arial" w:eastAsia="Calibri" w:cs="Arial"/>
          <w:sz w:val="20"/>
          <w:szCs w:val="20"/>
          <w:lang w:val="fr-FR"/>
        </w:rPr>
        <w:t>assurer à ceux-ci l</w:t>
      </w:r>
      <w:r w:rsidRPr="00A86354" w:rsidR="0006032C">
        <w:rPr>
          <w:rFonts w:ascii="Arial" w:hAnsi="Arial" w:eastAsia="Calibri" w:cs="Arial"/>
          <w:sz w:val="20"/>
          <w:szCs w:val="20"/>
          <w:lang w:val="fr-FR"/>
        </w:rPr>
        <w:t>’</w:t>
      </w:r>
      <w:r w:rsidRPr="00A86354" w:rsidR="005F0C4B">
        <w:rPr>
          <w:rFonts w:ascii="Arial" w:hAnsi="Arial" w:eastAsia="Calibri" w:cs="Arial"/>
          <w:sz w:val="20"/>
          <w:szCs w:val="20"/>
          <w:lang w:val="fr-FR"/>
        </w:rPr>
        <w:t>aide nécessaire. Cette politique concerne tous les domaines de la vie en société et elle est particulièrement orientée vers</w:t>
      </w:r>
      <w:r w:rsidRPr="00A86354">
        <w:rPr>
          <w:rFonts w:ascii="Arial" w:hAnsi="Arial" w:eastAsia="Calibri" w:cs="Arial"/>
          <w:sz w:val="20"/>
          <w:szCs w:val="20"/>
          <w:lang w:val="fr-FR"/>
        </w:rPr>
        <w:t> :</w:t>
      </w:r>
      <w:r w:rsidRPr="00A86354" w:rsidR="00DF7F52">
        <w:rPr>
          <w:rFonts w:ascii="Arial" w:hAnsi="Arial" w:eastAsia="Calibri" w:cs="Arial"/>
          <w:sz w:val="20"/>
          <w:szCs w:val="20"/>
          <w:lang w:val="fr-FR"/>
        </w:rPr>
        <w:t xml:space="preserve"> </w:t>
      </w:r>
      <w:r w:rsidRPr="00A86354" w:rsidR="005F0C4B">
        <w:rPr>
          <w:rFonts w:ascii="Arial" w:hAnsi="Arial" w:eastAsia="Calibri" w:cs="Arial"/>
          <w:sz w:val="20"/>
          <w:szCs w:val="20"/>
          <w:lang w:val="fr-FR"/>
        </w:rPr>
        <w:t>la prévention</w:t>
      </w:r>
      <w:r w:rsidRPr="00A86354" w:rsidR="00DF7F52">
        <w:rPr>
          <w:rFonts w:ascii="Arial" w:hAnsi="Arial" w:eastAsia="Calibri" w:cs="Arial"/>
          <w:sz w:val="20"/>
          <w:szCs w:val="20"/>
          <w:lang w:val="fr-FR"/>
        </w:rPr>
        <w:t xml:space="preserve"> </w:t>
      </w:r>
      <w:r w:rsidRPr="00A86354" w:rsidR="005F0C4B">
        <w:rPr>
          <w:rFonts w:ascii="Arial" w:hAnsi="Arial" w:eastAsia="Calibri" w:cs="Arial"/>
          <w:sz w:val="20"/>
          <w:szCs w:val="20"/>
          <w:lang w:val="fr-FR"/>
        </w:rPr>
        <w:t>et l</w:t>
      </w:r>
      <w:r w:rsidRPr="00A86354" w:rsidR="0006032C">
        <w:rPr>
          <w:rFonts w:ascii="Arial" w:hAnsi="Arial" w:eastAsia="Calibri" w:cs="Arial"/>
          <w:sz w:val="20"/>
          <w:szCs w:val="20"/>
          <w:lang w:val="fr-FR"/>
        </w:rPr>
        <w:t>’</w:t>
      </w:r>
      <w:r w:rsidRPr="00A86354" w:rsidR="005F0C4B">
        <w:rPr>
          <w:rFonts w:ascii="Arial" w:hAnsi="Arial" w:eastAsia="Calibri" w:cs="Arial"/>
          <w:sz w:val="20"/>
          <w:szCs w:val="20"/>
          <w:lang w:val="fr-FR"/>
        </w:rPr>
        <w:t>é</w:t>
      </w:r>
      <w:r w:rsidRPr="00A86354" w:rsidR="00DF7F52">
        <w:rPr>
          <w:rFonts w:ascii="Arial" w:hAnsi="Arial" w:eastAsia="Calibri" w:cs="Arial"/>
          <w:sz w:val="20"/>
          <w:szCs w:val="20"/>
          <w:lang w:val="fr-FR"/>
        </w:rPr>
        <w:t>ducation</w:t>
      </w:r>
      <w:r w:rsidRPr="00A86354" w:rsidR="005F0C4B">
        <w:rPr>
          <w:rFonts w:ascii="Arial" w:hAnsi="Arial" w:eastAsia="Calibri" w:cs="Arial"/>
          <w:sz w:val="20"/>
          <w:szCs w:val="20"/>
          <w:lang w:val="fr-FR"/>
        </w:rPr>
        <w:t xml:space="preserve"> à la santé</w:t>
      </w:r>
      <w:r w:rsidRPr="00A86354">
        <w:rPr>
          <w:rFonts w:ascii="Arial" w:hAnsi="Arial" w:eastAsia="Calibri" w:cs="Arial"/>
          <w:sz w:val="20"/>
          <w:szCs w:val="20"/>
          <w:lang w:val="fr-FR"/>
        </w:rPr>
        <w:t> ;</w:t>
      </w:r>
      <w:r w:rsidRPr="00A86354" w:rsidR="00DF7F52">
        <w:rPr>
          <w:rFonts w:ascii="Arial" w:hAnsi="Arial" w:eastAsia="Calibri" w:cs="Arial"/>
          <w:sz w:val="20"/>
          <w:szCs w:val="20"/>
          <w:lang w:val="fr-FR"/>
        </w:rPr>
        <w:t xml:space="preserve"> </w:t>
      </w:r>
      <w:r w:rsidRPr="00A86354" w:rsidR="005F0C4B">
        <w:rPr>
          <w:rFonts w:ascii="Arial" w:hAnsi="Arial" w:eastAsia="Calibri" w:cs="Arial"/>
          <w:sz w:val="20"/>
          <w:szCs w:val="20"/>
          <w:lang w:val="fr-FR"/>
        </w:rPr>
        <w:t>l</w:t>
      </w:r>
      <w:r w:rsidRPr="00A86354" w:rsidR="0006032C">
        <w:rPr>
          <w:rFonts w:ascii="Arial" w:hAnsi="Arial" w:eastAsia="Calibri" w:cs="Arial"/>
          <w:sz w:val="20"/>
          <w:szCs w:val="20"/>
          <w:lang w:val="fr-FR"/>
        </w:rPr>
        <w:t>’</w:t>
      </w:r>
      <w:r w:rsidRPr="00A86354" w:rsidR="00DF7F52">
        <w:rPr>
          <w:rFonts w:ascii="Arial" w:hAnsi="Arial" w:eastAsia="Calibri" w:cs="Arial"/>
          <w:sz w:val="20"/>
          <w:szCs w:val="20"/>
          <w:lang w:val="fr-FR"/>
        </w:rPr>
        <w:t xml:space="preserve">identification </w:t>
      </w:r>
      <w:r w:rsidRPr="00A86354" w:rsidR="005F0C4B">
        <w:rPr>
          <w:rFonts w:ascii="Arial" w:hAnsi="Arial" w:eastAsia="Calibri" w:cs="Arial"/>
          <w:sz w:val="20"/>
          <w:szCs w:val="20"/>
          <w:lang w:val="fr-FR"/>
        </w:rPr>
        <w:t>et le</w:t>
      </w:r>
      <w:r w:rsidRPr="00A86354" w:rsidR="00DF7F52">
        <w:rPr>
          <w:rFonts w:ascii="Arial" w:hAnsi="Arial" w:eastAsia="Calibri" w:cs="Arial"/>
          <w:sz w:val="20"/>
          <w:szCs w:val="20"/>
          <w:lang w:val="fr-FR"/>
        </w:rPr>
        <w:t xml:space="preserve"> </w:t>
      </w:r>
      <w:r w:rsidRPr="00A86354" w:rsidR="005F0C4B">
        <w:rPr>
          <w:rFonts w:ascii="Arial" w:hAnsi="Arial" w:eastAsia="Calibri" w:cs="Arial"/>
          <w:sz w:val="20"/>
          <w:szCs w:val="20"/>
          <w:lang w:val="fr-FR"/>
        </w:rPr>
        <w:t>diagnostic</w:t>
      </w:r>
      <w:r w:rsidRPr="00A86354">
        <w:rPr>
          <w:rFonts w:ascii="Arial" w:hAnsi="Arial" w:eastAsia="Calibri" w:cs="Arial"/>
          <w:sz w:val="20"/>
          <w:szCs w:val="20"/>
          <w:lang w:val="fr-FR"/>
        </w:rPr>
        <w:t> ;</w:t>
      </w:r>
      <w:r w:rsidRPr="00A86354" w:rsidR="00DF7F52">
        <w:rPr>
          <w:rFonts w:ascii="Arial" w:hAnsi="Arial" w:eastAsia="Calibri" w:cs="Arial"/>
          <w:sz w:val="20"/>
          <w:szCs w:val="20"/>
          <w:lang w:val="fr-FR"/>
        </w:rPr>
        <w:t xml:space="preserve"> </w:t>
      </w:r>
      <w:r w:rsidRPr="00A86354" w:rsidR="005F0C4B">
        <w:rPr>
          <w:rFonts w:ascii="Arial" w:hAnsi="Arial" w:eastAsia="Calibri" w:cs="Arial"/>
          <w:sz w:val="20"/>
          <w:szCs w:val="20"/>
          <w:lang w:val="fr-FR"/>
        </w:rPr>
        <w:t>le traitement et les aides thérapeutiques</w:t>
      </w:r>
      <w:r w:rsidRPr="00A86354">
        <w:rPr>
          <w:rFonts w:ascii="Arial" w:hAnsi="Arial" w:eastAsia="Calibri" w:cs="Arial"/>
          <w:sz w:val="20"/>
          <w:szCs w:val="20"/>
          <w:lang w:val="fr-FR"/>
        </w:rPr>
        <w:t> ;</w:t>
      </w:r>
      <w:r w:rsidRPr="00A86354" w:rsidR="005F0C4B">
        <w:rPr>
          <w:rFonts w:ascii="Arial" w:hAnsi="Arial" w:eastAsia="Calibri" w:cs="Arial"/>
          <w:sz w:val="20"/>
          <w:szCs w:val="20"/>
          <w:lang w:val="fr-FR"/>
        </w:rPr>
        <w:t xml:space="preserve"> l</w:t>
      </w:r>
      <w:r w:rsidRPr="00A86354" w:rsidR="0006032C">
        <w:rPr>
          <w:rFonts w:ascii="Arial" w:hAnsi="Arial" w:eastAsia="Calibri" w:cs="Arial"/>
          <w:sz w:val="20"/>
          <w:szCs w:val="20"/>
          <w:lang w:val="fr-FR"/>
        </w:rPr>
        <w:t>’</w:t>
      </w:r>
      <w:r w:rsidRPr="00A86354" w:rsidR="005F0C4B">
        <w:rPr>
          <w:rFonts w:ascii="Arial" w:hAnsi="Arial" w:eastAsia="Calibri" w:cs="Arial"/>
          <w:sz w:val="20"/>
          <w:szCs w:val="20"/>
          <w:lang w:val="fr-FR"/>
        </w:rPr>
        <w:t>é</w:t>
      </w:r>
      <w:r w:rsidRPr="00A86354" w:rsidR="00DF7F52">
        <w:rPr>
          <w:rFonts w:ascii="Arial" w:hAnsi="Arial" w:eastAsia="Calibri" w:cs="Arial"/>
          <w:sz w:val="20"/>
          <w:szCs w:val="20"/>
          <w:lang w:val="fr-FR"/>
        </w:rPr>
        <w:t>ducation</w:t>
      </w:r>
      <w:r w:rsidRPr="00A86354">
        <w:rPr>
          <w:rFonts w:ascii="Arial" w:hAnsi="Arial" w:eastAsia="Calibri" w:cs="Arial"/>
          <w:sz w:val="20"/>
          <w:szCs w:val="20"/>
          <w:lang w:val="fr-FR"/>
        </w:rPr>
        <w:t> ;</w:t>
      </w:r>
      <w:r w:rsidRPr="00A86354" w:rsidR="005F0C4B">
        <w:rPr>
          <w:rFonts w:ascii="Arial" w:hAnsi="Arial" w:eastAsia="Calibri" w:cs="Arial"/>
          <w:sz w:val="20"/>
          <w:szCs w:val="20"/>
          <w:lang w:val="fr-FR"/>
        </w:rPr>
        <w:t xml:space="preserve"> l</w:t>
      </w:r>
      <w:r w:rsidRPr="00A86354" w:rsidR="0006032C">
        <w:rPr>
          <w:rFonts w:ascii="Arial" w:hAnsi="Arial" w:eastAsia="Calibri" w:cs="Arial"/>
          <w:sz w:val="20"/>
          <w:szCs w:val="20"/>
          <w:lang w:val="fr-FR"/>
        </w:rPr>
        <w:t>’</w:t>
      </w:r>
      <w:r w:rsidRPr="00A86354" w:rsidR="005F0C4B">
        <w:rPr>
          <w:rFonts w:ascii="Arial" w:hAnsi="Arial" w:eastAsia="Calibri" w:cs="Arial"/>
          <w:sz w:val="20"/>
          <w:szCs w:val="20"/>
          <w:lang w:val="fr-FR"/>
        </w:rPr>
        <w:t>orientation et la formation professionnelles</w:t>
      </w:r>
      <w:r w:rsidRPr="00A86354">
        <w:rPr>
          <w:rFonts w:ascii="Arial" w:hAnsi="Arial" w:eastAsia="Calibri" w:cs="Arial"/>
          <w:sz w:val="20"/>
          <w:szCs w:val="20"/>
          <w:lang w:val="fr-FR"/>
        </w:rPr>
        <w:t> ;</w:t>
      </w:r>
      <w:r w:rsidRPr="00A86354" w:rsidR="005F0C4B">
        <w:rPr>
          <w:rFonts w:ascii="Arial" w:hAnsi="Arial" w:eastAsia="Calibri" w:cs="Arial"/>
          <w:sz w:val="20"/>
          <w:szCs w:val="20"/>
          <w:lang w:val="fr-FR"/>
        </w:rPr>
        <w:t xml:space="preserve"> l</w:t>
      </w:r>
      <w:r w:rsidRPr="00A86354" w:rsidR="0006032C">
        <w:rPr>
          <w:rFonts w:ascii="Arial" w:hAnsi="Arial" w:eastAsia="Calibri" w:cs="Arial"/>
          <w:sz w:val="20"/>
          <w:szCs w:val="20"/>
          <w:lang w:val="fr-FR"/>
        </w:rPr>
        <w:t>’</w:t>
      </w:r>
      <w:r w:rsidRPr="00A86354" w:rsidR="005F0C4B">
        <w:rPr>
          <w:rFonts w:ascii="Arial" w:hAnsi="Arial" w:eastAsia="Calibri" w:cs="Arial"/>
          <w:sz w:val="20"/>
          <w:szCs w:val="20"/>
          <w:lang w:val="fr-FR"/>
        </w:rPr>
        <w:t>emploi</w:t>
      </w:r>
      <w:r w:rsidRPr="00A86354">
        <w:rPr>
          <w:rFonts w:ascii="Arial" w:hAnsi="Arial" w:eastAsia="Calibri" w:cs="Arial"/>
          <w:sz w:val="20"/>
          <w:szCs w:val="20"/>
          <w:lang w:val="fr-FR"/>
        </w:rPr>
        <w:t> :</w:t>
      </w:r>
      <w:r w:rsidRPr="00A86354" w:rsidR="005F0C4B">
        <w:rPr>
          <w:rFonts w:ascii="Arial" w:hAnsi="Arial" w:eastAsia="Calibri" w:cs="Arial"/>
          <w:sz w:val="20"/>
          <w:szCs w:val="20"/>
          <w:lang w:val="fr-FR"/>
        </w:rPr>
        <w:t xml:space="preserve"> l</w:t>
      </w:r>
      <w:r w:rsidRPr="00A86354" w:rsidR="0006032C">
        <w:rPr>
          <w:rFonts w:ascii="Arial" w:hAnsi="Arial" w:eastAsia="Calibri" w:cs="Arial"/>
          <w:sz w:val="20"/>
          <w:szCs w:val="20"/>
          <w:lang w:val="fr-FR"/>
        </w:rPr>
        <w:t>’</w:t>
      </w:r>
      <w:r w:rsidRPr="00A86354" w:rsidR="00DF7F52">
        <w:rPr>
          <w:rFonts w:ascii="Arial" w:hAnsi="Arial" w:eastAsia="Calibri" w:cs="Arial"/>
          <w:sz w:val="20"/>
          <w:szCs w:val="20"/>
          <w:lang w:val="fr-FR"/>
        </w:rPr>
        <w:t>int</w:t>
      </w:r>
      <w:r w:rsidRPr="00A86354" w:rsidR="005F0C4B">
        <w:rPr>
          <w:rFonts w:ascii="Arial" w:hAnsi="Arial" w:eastAsia="Calibri" w:cs="Arial"/>
          <w:sz w:val="20"/>
          <w:szCs w:val="20"/>
          <w:lang w:val="fr-FR"/>
        </w:rPr>
        <w:t>é</w:t>
      </w:r>
      <w:r w:rsidRPr="00A86354" w:rsidR="00DF7F52">
        <w:rPr>
          <w:rFonts w:ascii="Arial" w:hAnsi="Arial" w:eastAsia="Calibri" w:cs="Arial"/>
          <w:sz w:val="20"/>
          <w:szCs w:val="20"/>
          <w:lang w:val="fr-FR"/>
        </w:rPr>
        <w:t xml:space="preserve">gration </w:t>
      </w:r>
      <w:r w:rsidRPr="00A86354" w:rsidR="005F0C4B">
        <w:rPr>
          <w:rFonts w:ascii="Arial" w:hAnsi="Arial" w:eastAsia="Calibri" w:cs="Arial"/>
          <w:sz w:val="20"/>
          <w:szCs w:val="20"/>
          <w:lang w:val="fr-FR"/>
        </w:rPr>
        <w:t>sociale et l</w:t>
      </w:r>
      <w:r w:rsidRPr="00A86354" w:rsidR="0006032C">
        <w:rPr>
          <w:rFonts w:ascii="Arial" w:hAnsi="Arial" w:eastAsia="Calibri" w:cs="Arial"/>
          <w:sz w:val="20"/>
          <w:szCs w:val="20"/>
          <w:lang w:val="fr-FR"/>
        </w:rPr>
        <w:t>’</w:t>
      </w:r>
      <w:r w:rsidRPr="00A86354" w:rsidR="005F0C4B">
        <w:rPr>
          <w:rFonts w:ascii="Arial" w:hAnsi="Arial" w:eastAsia="Calibri" w:cs="Arial"/>
          <w:sz w:val="20"/>
          <w:szCs w:val="20"/>
          <w:lang w:val="fr-FR"/>
        </w:rPr>
        <w:t>environnement quotidien</w:t>
      </w:r>
      <w:r w:rsidRPr="00A86354">
        <w:rPr>
          <w:rFonts w:ascii="Arial" w:hAnsi="Arial" w:eastAsia="Calibri" w:cs="Arial"/>
          <w:sz w:val="20"/>
          <w:szCs w:val="20"/>
          <w:lang w:val="fr-FR"/>
        </w:rPr>
        <w:t> ;</w:t>
      </w:r>
      <w:r w:rsidRPr="00A86354" w:rsidR="00DF7F52">
        <w:rPr>
          <w:rFonts w:ascii="Arial" w:hAnsi="Arial" w:eastAsia="Calibri" w:cs="Arial"/>
          <w:sz w:val="20"/>
          <w:szCs w:val="20"/>
          <w:lang w:val="fr-FR"/>
        </w:rPr>
        <w:t xml:space="preserve"> </w:t>
      </w:r>
      <w:r w:rsidRPr="00A86354" w:rsidR="005F0C4B">
        <w:rPr>
          <w:rFonts w:ascii="Arial" w:hAnsi="Arial" w:eastAsia="Calibri" w:cs="Arial"/>
          <w:sz w:val="20"/>
          <w:szCs w:val="20"/>
          <w:lang w:val="fr-FR"/>
        </w:rPr>
        <w:t xml:space="preserve">la protection </w:t>
      </w:r>
      <w:r w:rsidRPr="00A86354" w:rsidR="00DF7F52">
        <w:rPr>
          <w:rFonts w:ascii="Arial" w:hAnsi="Arial" w:eastAsia="Calibri" w:cs="Arial"/>
          <w:sz w:val="20"/>
          <w:szCs w:val="20"/>
          <w:lang w:val="fr-FR"/>
        </w:rPr>
        <w:t>social</w:t>
      </w:r>
      <w:r w:rsidRPr="00A86354" w:rsidR="005F0C4B">
        <w:rPr>
          <w:rFonts w:ascii="Arial" w:hAnsi="Arial" w:eastAsia="Calibri" w:cs="Arial"/>
          <w:sz w:val="20"/>
          <w:szCs w:val="20"/>
          <w:lang w:val="fr-FR"/>
        </w:rPr>
        <w:t>e</w:t>
      </w:r>
      <w:r w:rsidRPr="00A86354" w:rsidR="00DF7F52">
        <w:rPr>
          <w:rFonts w:ascii="Arial" w:hAnsi="Arial" w:eastAsia="Calibri" w:cs="Arial"/>
          <w:sz w:val="20"/>
          <w:szCs w:val="20"/>
          <w:lang w:val="fr-FR"/>
        </w:rPr>
        <w:t xml:space="preserve">, </w:t>
      </w:r>
      <w:r w:rsidRPr="00A86354" w:rsidR="005F0C4B">
        <w:rPr>
          <w:rFonts w:ascii="Arial" w:hAnsi="Arial" w:eastAsia="Calibri" w:cs="Arial"/>
          <w:sz w:val="20"/>
          <w:szCs w:val="20"/>
          <w:lang w:val="fr-FR"/>
        </w:rPr>
        <w:t>économique</w:t>
      </w:r>
      <w:r w:rsidRPr="00A86354" w:rsidR="00DF7F52">
        <w:rPr>
          <w:rFonts w:ascii="Arial" w:hAnsi="Arial" w:eastAsia="Calibri" w:cs="Arial"/>
          <w:sz w:val="20"/>
          <w:szCs w:val="20"/>
          <w:lang w:val="fr-FR"/>
        </w:rPr>
        <w:t xml:space="preserve"> </w:t>
      </w:r>
      <w:r w:rsidRPr="00A86354" w:rsidR="005F0C4B">
        <w:rPr>
          <w:rFonts w:ascii="Arial" w:hAnsi="Arial" w:eastAsia="Calibri" w:cs="Arial"/>
          <w:sz w:val="20"/>
          <w:szCs w:val="20"/>
          <w:lang w:val="fr-FR"/>
        </w:rPr>
        <w:t>et juridique</w:t>
      </w:r>
      <w:r w:rsidRPr="00A86354">
        <w:rPr>
          <w:rFonts w:ascii="Arial" w:hAnsi="Arial" w:eastAsia="Calibri" w:cs="Arial"/>
          <w:sz w:val="20"/>
          <w:szCs w:val="20"/>
          <w:lang w:val="fr-FR"/>
        </w:rPr>
        <w:t> ;</w:t>
      </w:r>
      <w:r w:rsidRPr="00A86354" w:rsidR="005F0C4B">
        <w:rPr>
          <w:rFonts w:ascii="Arial" w:hAnsi="Arial" w:eastAsia="Calibri" w:cs="Arial"/>
          <w:sz w:val="20"/>
          <w:szCs w:val="20"/>
          <w:lang w:val="fr-FR"/>
        </w:rPr>
        <w:t xml:space="preserve"> la formation du personnel concerné par le processus de la réadaptation </w:t>
      </w:r>
      <w:r w:rsidRPr="00A86354" w:rsidR="00AB6FA2">
        <w:rPr>
          <w:rFonts w:ascii="Arial" w:hAnsi="Arial" w:eastAsia="Calibri" w:cs="Arial"/>
          <w:sz w:val="20"/>
          <w:szCs w:val="20"/>
          <w:lang w:val="fr-FR"/>
        </w:rPr>
        <w:t>et</w:t>
      </w:r>
      <w:r w:rsidRPr="00A86354" w:rsidR="005F0C4B">
        <w:rPr>
          <w:rFonts w:ascii="Arial" w:hAnsi="Arial" w:eastAsia="Calibri" w:cs="Arial"/>
          <w:sz w:val="20"/>
          <w:szCs w:val="20"/>
          <w:lang w:val="fr-FR"/>
        </w:rPr>
        <w:t xml:space="preserve"> de l</w:t>
      </w:r>
      <w:r w:rsidRPr="00A86354" w:rsidR="0006032C">
        <w:rPr>
          <w:rFonts w:ascii="Arial" w:hAnsi="Arial" w:eastAsia="Calibri" w:cs="Arial"/>
          <w:sz w:val="20"/>
          <w:szCs w:val="20"/>
          <w:lang w:val="fr-FR"/>
        </w:rPr>
        <w:t>’</w:t>
      </w:r>
      <w:r w:rsidRPr="00A86354" w:rsidR="005F0C4B">
        <w:rPr>
          <w:rFonts w:ascii="Arial" w:hAnsi="Arial" w:eastAsia="Calibri" w:cs="Arial"/>
          <w:sz w:val="20"/>
          <w:szCs w:val="20"/>
          <w:lang w:val="fr-FR"/>
        </w:rPr>
        <w:t>intégration sociale des personnes handicapées</w:t>
      </w:r>
      <w:r w:rsidRPr="00A86354">
        <w:rPr>
          <w:rFonts w:ascii="Arial" w:hAnsi="Arial" w:eastAsia="Calibri" w:cs="Arial"/>
          <w:sz w:val="20"/>
          <w:szCs w:val="20"/>
          <w:lang w:val="fr-FR"/>
        </w:rPr>
        <w:t> ;</w:t>
      </w:r>
      <w:r w:rsidRPr="00A86354" w:rsidR="005F0C4B">
        <w:rPr>
          <w:rFonts w:ascii="Arial" w:hAnsi="Arial" w:eastAsia="Calibri" w:cs="Arial"/>
          <w:sz w:val="20"/>
          <w:szCs w:val="20"/>
          <w:lang w:val="fr-FR"/>
        </w:rPr>
        <w:t xml:space="preserve"> l</w:t>
      </w:r>
      <w:r w:rsidRPr="00A86354" w:rsidR="0006032C">
        <w:rPr>
          <w:rFonts w:ascii="Arial" w:hAnsi="Arial" w:eastAsia="Calibri" w:cs="Arial"/>
          <w:sz w:val="20"/>
          <w:szCs w:val="20"/>
          <w:lang w:val="fr-FR"/>
        </w:rPr>
        <w:t>’</w:t>
      </w:r>
      <w:r w:rsidRPr="00A86354" w:rsidR="005F0C4B">
        <w:rPr>
          <w:rFonts w:ascii="Arial" w:hAnsi="Arial" w:eastAsia="Calibri" w:cs="Arial"/>
          <w:sz w:val="20"/>
          <w:szCs w:val="20"/>
          <w:lang w:val="fr-FR"/>
        </w:rPr>
        <w:t>i</w:t>
      </w:r>
      <w:r w:rsidRPr="00A86354" w:rsidR="00DF7F52">
        <w:rPr>
          <w:rFonts w:ascii="Arial" w:hAnsi="Arial" w:eastAsia="Calibri" w:cs="Arial"/>
          <w:sz w:val="20"/>
          <w:szCs w:val="20"/>
          <w:lang w:val="fr-FR"/>
        </w:rPr>
        <w:t>nformation</w:t>
      </w:r>
      <w:r w:rsidRPr="00A86354">
        <w:rPr>
          <w:rFonts w:ascii="Arial" w:hAnsi="Arial" w:eastAsia="Calibri" w:cs="Arial"/>
          <w:sz w:val="20"/>
          <w:szCs w:val="20"/>
          <w:lang w:val="fr-FR"/>
        </w:rPr>
        <w:t> ;</w:t>
      </w:r>
      <w:r w:rsidRPr="00A86354" w:rsidR="005F0C4B">
        <w:rPr>
          <w:rFonts w:ascii="Arial" w:hAnsi="Arial" w:eastAsia="Calibri" w:cs="Arial"/>
          <w:sz w:val="20"/>
          <w:szCs w:val="20"/>
          <w:lang w:val="fr-FR"/>
        </w:rPr>
        <w:t xml:space="preserve"> les statistiques et la recherche.</w:t>
      </w:r>
      <w:r w:rsidRPr="00A86354">
        <w:rPr>
          <w:rFonts w:ascii="Arial" w:hAnsi="Arial" w:eastAsia="Calibri" w:cs="Arial"/>
          <w:sz w:val="20"/>
          <w:szCs w:val="20"/>
          <w:lang w:val="fr-FR"/>
        </w:rPr>
        <w:t> »</w:t>
      </w:r>
      <w:r w:rsidRPr="00A86354" w:rsidR="00DF7F52">
        <w:rPr>
          <w:rFonts w:ascii="Arial" w:hAnsi="Arial" w:eastAsia="Calibri" w:cs="Arial"/>
          <w:sz w:val="20"/>
          <w:szCs w:val="20"/>
          <w:lang w:val="fr-FR"/>
        </w:rPr>
        <w:t xml:space="preserve">  </w:t>
      </w:r>
    </w:p>
    <w:p w:rsidRPr="00A86354" w:rsidR="00556302" w:rsidP="00120255" w:rsidRDefault="00556302" w14:paraId="37BC6695" w14:textId="51B82D22">
      <w:pPr>
        <w:rPr>
          <w:rFonts w:ascii="Arial" w:hAnsi="Arial" w:cs="Arial"/>
          <w:b/>
          <w:bCs/>
          <w:lang w:val="fr-FR"/>
        </w:rPr>
      </w:pPr>
    </w:p>
    <w:p w:rsidRPr="00A86354" w:rsidR="00556302" w:rsidP="00CE016A" w:rsidRDefault="00FB4F0C" w14:paraId="21A84460" w14:textId="0C75CD8D">
      <w:pPr>
        <w:pStyle w:val="ListParagraph"/>
        <w:numPr>
          <w:ilvl w:val="0"/>
          <w:numId w:val="1"/>
        </w:numPr>
        <w:ind w:left="0" w:firstLine="0"/>
        <w:rPr>
          <w:rFonts w:cs="Arial"/>
          <w:lang w:val="fr-FR"/>
        </w:rPr>
      </w:pPr>
      <w:r w:rsidRPr="00A86354">
        <w:rPr>
          <w:rFonts w:cs="Arial"/>
          <w:lang w:val="fr-FR"/>
        </w:rPr>
        <w:t>Concernant l</w:t>
      </w:r>
      <w:r w:rsidRPr="00A86354" w:rsidR="0006032C">
        <w:rPr>
          <w:rFonts w:cs="Arial"/>
          <w:lang w:val="fr-FR"/>
        </w:rPr>
        <w:t>’</w:t>
      </w:r>
      <w:r w:rsidRPr="00A86354">
        <w:rPr>
          <w:rFonts w:cs="Arial"/>
          <w:lang w:val="fr-FR"/>
        </w:rPr>
        <w:t>intégration sociale et l</w:t>
      </w:r>
      <w:r w:rsidRPr="00A86354" w:rsidR="0006032C">
        <w:rPr>
          <w:rFonts w:cs="Arial"/>
          <w:lang w:val="fr-FR"/>
        </w:rPr>
        <w:t>’</w:t>
      </w:r>
      <w:r w:rsidRPr="00A86354">
        <w:rPr>
          <w:rFonts w:cs="Arial"/>
          <w:lang w:val="fr-FR"/>
        </w:rPr>
        <w:t>environnement</w:t>
      </w:r>
      <w:r w:rsidRPr="00A86354" w:rsidR="0071391B">
        <w:rPr>
          <w:rFonts w:cs="Arial"/>
          <w:lang w:val="fr-FR"/>
        </w:rPr>
        <w:t xml:space="preserve">, </w:t>
      </w:r>
      <w:r w:rsidRPr="00A86354">
        <w:rPr>
          <w:rFonts w:cs="Arial"/>
          <w:lang w:val="fr-FR"/>
        </w:rPr>
        <w:t>la recommandation indique notamment que</w:t>
      </w:r>
      <w:r w:rsidRPr="00A86354" w:rsidR="000807D5">
        <w:rPr>
          <w:rFonts w:cs="Arial"/>
          <w:lang w:val="fr-FR"/>
        </w:rPr>
        <w:t> :</w:t>
      </w:r>
      <w:r w:rsidRPr="00A86354" w:rsidR="0071391B">
        <w:rPr>
          <w:rFonts w:cs="Arial"/>
          <w:lang w:val="fr-FR"/>
        </w:rPr>
        <w:t xml:space="preserve">  </w:t>
      </w:r>
    </w:p>
    <w:p w:rsidRPr="00A86354" w:rsidR="00556302" w:rsidP="00120255" w:rsidRDefault="00556302" w14:paraId="5E021F4B" w14:textId="1277791C">
      <w:pPr>
        <w:rPr>
          <w:rFonts w:ascii="Arial" w:hAnsi="Arial" w:cs="Arial"/>
          <w:b/>
          <w:bCs/>
          <w:lang w:val="fr-FR"/>
        </w:rPr>
      </w:pPr>
    </w:p>
    <w:p w:rsidRPr="00A86354" w:rsidR="00556302" w:rsidP="00A86354" w:rsidRDefault="000807D5" w14:paraId="0E6EE1FA" w14:textId="3AA6E95B">
      <w:pPr>
        <w:ind w:left="709"/>
        <w:rPr>
          <w:rFonts w:ascii="Arial" w:hAnsi="Arial" w:cs="Arial"/>
          <w:sz w:val="20"/>
          <w:szCs w:val="20"/>
          <w:lang w:val="fr-FR"/>
        </w:rPr>
      </w:pPr>
      <w:r w:rsidRPr="00A86354">
        <w:rPr>
          <w:rFonts w:ascii="Arial" w:hAnsi="Arial" w:cs="Arial"/>
          <w:sz w:val="20"/>
          <w:szCs w:val="20"/>
          <w:lang w:val="fr-FR"/>
        </w:rPr>
        <w:t>« </w:t>
      </w:r>
      <w:r w:rsidRPr="00A86354" w:rsidR="000B5655">
        <w:rPr>
          <w:rFonts w:ascii="Arial" w:hAnsi="Arial" w:cs="Arial"/>
          <w:sz w:val="20"/>
          <w:szCs w:val="20"/>
          <w:lang w:val="fr-FR"/>
        </w:rPr>
        <w:t>tout processus de réadaptation d</w:t>
      </w:r>
      <w:r w:rsidRPr="00A86354" w:rsidR="0006032C">
        <w:rPr>
          <w:rFonts w:ascii="Arial" w:hAnsi="Arial" w:cs="Arial"/>
          <w:sz w:val="20"/>
          <w:szCs w:val="20"/>
          <w:lang w:val="fr-FR"/>
        </w:rPr>
        <w:t>’</w:t>
      </w:r>
      <w:r w:rsidRPr="00A86354" w:rsidR="000B5655">
        <w:rPr>
          <w:rFonts w:ascii="Arial" w:hAnsi="Arial" w:cs="Arial"/>
          <w:sz w:val="20"/>
          <w:szCs w:val="20"/>
          <w:lang w:val="fr-FR"/>
        </w:rPr>
        <w:t xml:space="preserve">une personne handicapée devrait tenir compte des mesures qui favorisent son autonomie personnelle et assurent son indépendance économique et son intégration sociale la plus complète </w:t>
      </w:r>
      <w:r w:rsidRPr="00A86354" w:rsidR="002C5D46">
        <w:rPr>
          <w:rFonts w:ascii="Arial" w:hAnsi="Arial" w:cs="Arial"/>
          <w:sz w:val="20"/>
          <w:szCs w:val="20"/>
          <w:lang w:val="fr-FR"/>
        </w:rPr>
        <w:t>[...]</w:t>
      </w:r>
      <w:r w:rsidRPr="00A86354" w:rsidR="000B5655">
        <w:rPr>
          <w:rFonts w:ascii="Arial" w:hAnsi="Arial" w:cs="Arial"/>
          <w:sz w:val="20"/>
          <w:szCs w:val="20"/>
          <w:lang w:val="fr-FR"/>
        </w:rPr>
        <w:t>. Une réadaptation totale suppose un ensemble de mesures fondamentales et complémentaires, des dispositions, des services et des facilités pouvant garantir une indépendance aussi bien physique que psychologique. L</w:t>
      </w:r>
      <w:r w:rsidRPr="00A86354" w:rsidR="0006032C">
        <w:rPr>
          <w:rFonts w:ascii="Arial" w:hAnsi="Arial" w:cs="Arial"/>
          <w:sz w:val="20"/>
          <w:szCs w:val="20"/>
          <w:lang w:val="fr-FR"/>
        </w:rPr>
        <w:t>’</w:t>
      </w:r>
      <w:r w:rsidRPr="00A86354" w:rsidR="000B5655">
        <w:rPr>
          <w:rFonts w:ascii="Arial" w:hAnsi="Arial" w:cs="Arial"/>
          <w:sz w:val="20"/>
          <w:szCs w:val="20"/>
          <w:lang w:val="fr-FR"/>
        </w:rPr>
        <w:t>adaptation du mobilier urbain et de l</w:t>
      </w:r>
      <w:r w:rsidRPr="00A86354" w:rsidR="0006032C">
        <w:rPr>
          <w:rFonts w:ascii="Arial" w:hAnsi="Arial" w:cs="Arial"/>
          <w:sz w:val="20"/>
          <w:szCs w:val="20"/>
          <w:lang w:val="fr-FR"/>
        </w:rPr>
        <w:t>’</w:t>
      </w:r>
      <w:r w:rsidRPr="00A86354" w:rsidR="000B5655">
        <w:rPr>
          <w:rFonts w:ascii="Arial" w:hAnsi="Arial" w:cs="Arial"/>
          <w:sz w:val="20"/>
          <w:szCs w:val="20"/>
          <w:lang w:val="fr-FR"/>
        </w:rPr>
        <w:t>urbanisme, l</w:t>
      </w:r>
      <w:r w:rsidRPr="00A86354" w:rsidR="0006032C">
        <w:rPr>
          <w:rFonts w:ascii="Arial" w:hAnsi="Arial" w:cs="Arial"/>
          <w:sz w:val="20"/>
          <w:szCs w:val="20"/>
          <w:lang w:val="fr-FR"/>
        </w:rPr>
        <w:t>’</w:t>
      </w:r>
      <w:r w:rsidRPr="00A86354" w:rsidR="000B5655">
        <w:rPr>
          <w:rFonts w:ascii="Arial" w:hAnsi="Arial" w:cs="Arial"/>
          <w:sz w:val="20"/>
          <w:szCs w:val="20"/>
          <w:lang w:val="fr-FR"/>
        </w:rPr>
        <w:t>accès aux bâtiments, aux habitations et aux installations sportives, les transports et les communications, les activités culturelles, les loisirs et les vacances doivent constituer autant de facteurs qui influent sur les objectifs de la réadaptation.</w:t>
      </w:r>
    </w:p>
    <w:p w:rsidRPr="00A86354" w:rsidR="000B5655" w:rsidP="00A86354" w:rsidRDefault="000B5655" w14:paraId="0141D353" w14:textId="77777777">
      <w:pPr>
        <w:ind w:left="709"/>
        <w:rPr>
          <w:rFonts w:ascii="Arial" w:hAnsi="Arial" w:cs="Arial"/>
          <w:b/>
          <w:bCs/>
          <w:lang w:val="fr-FR"/>
        </w:rPr>
      </w:pPr>
    </w:p>
    <w:p w:rsidRPr="00A86354" w:rsidR="00556302" w:rsidP="00A86354" w:rsidRDefault="00EE303D" w14:paraId="025C7662" w14:textId="47821D82">
      <w:pPr>
        <w:ind w:left="709"/>
        <w:rPr>
          <w:rFonts w:ascii="Arial" w:hAnsi="Arial" w:cs="Arial"/>
          <w:sz w:val="20"/>
          <w:szCs w:val="20"/>
          <w:lang w:val="fr-FR"/>
        </w:rPr>
      </w:pPr>
      <w:r w:rsidRPr="00A86354">
        <w:rPr>
          <w:rFonts w:ascii="Arial" w:hAnsi="Arial" w:cs="Arial"/>
          <w:sz w:val="20"/>
          <w:szCs w:val="20"/>
          <w:lang w:val="fr-FR"/>
        </w:rPr>
        <w:t xml:space="preserve">1.2. </w:t>
      </w:r>
      <w:r w:rsidRPr="00A86354" w:rsidR="000B5655">
        <w:rPr>
          <w:rFonts w:ascii="Arial" w:hAnsi="Arial" w:cs="Arial"/>
          <w:sz w:val="20"/>
          <w:szCs w:val="20"/>
          <w:lang w:val="fr-FR"/>
        </w:rPr>
        <w:t>La législation doit tenir compte des droits des personnes handicapées et favoriser, dans la mesure du possible, leur participation à la vie civile. Dans le cas où des personnes handicapées ne sont pas en mesure d</w:t>
      </w:r>
      <w:r w:rsidRPr="00A86354" w:rsidR="0006032C">
        <w:rPr>
          <w:rFonts w:ascii="Arial" w:hAnsi="Arial" w:cs="Arial"/>
          <w:sz w:val="20"/>
          <w:szCs w:val="20"/>
          <w:lang w:val="fr-FR"/>
        </w:rPr>
        <w:t>’</w:t>
      </w:r>
      <w:r w:rsidRPr="00A86354" w:rsidR="000B5655">
        <w:rPr>
          <w:rFonts w:ascii="Arial" w:hAnsi="Arial" w:cs="Arial"/>
          <w:sz w:val="20"/>
          <w:szCs w:val="20"/>
          <w:lang w:val="fr-FR"/>
        </w:rPr>
        <w:t>exercer pleinement leurs droits de citoyens, il faudrait les aider à participer au maximum à la vie civile, en leur assurant le concours d</w:t>
      </w:r>
      <w:r w:rsidRPr="00A86354" w:rsidR="0006032C">
        <w:rPr>
          <w:rFonts w:ascii="Arial" w:hAnsi="Arial" w:cs="Arial"/>
          <w:sz w:val="20"/>
          <w:szCs w:val="20"/>
          <w:lang w:val="fr-FR"/>
        </w:rPr>
        <w:t>’</w:t>
      </w:r>
      <w:r w:rsidRPr="00A86354" w:rsidR="000B5655">
        <w:rPr>
          <w:rFonts w:ascii="Arial" w:hAnsi="Arial" w:cs="Arial"/>
          <w:sz w:val="20"/>
          <w:szCs w:val="20"/>
          <w:lang w:val="fr-FR"/>
        </w:rPr>
        <w:t>autrui et en prenant des mesures appropriées.</w:t>
      </w:r>
    </w:p>
    <w:p w:rsidRPr="00A86354" w:rsidR="00556302" w:rsidP="00A86354" w:rsidRDefault="00556302" w14:paraId="2D79A1C9" w14:textId="464FDB10">
      <w:pPr>
        <w:ind w:left="709"/>
        <w:rPr>
          <w:rFonts w:ascii="Arial" w:hAnsi="Arial" w:cs="Arial"/>
          <w:b/>
          <w:bCs/>
          <w:lang w:val="fr-FR"/>
        </w:rPr>
      </w:pPr>
    </w:p>
    <w:p w:rsidRPr="00A86354" w:rsidR="00EE303D" w:rsidP="00A86354" w:rsidRDefault="002C5D46" w14:paraId="0093C3DE" w14:textId="7F0374D6">
      <w:pPr>
        <w:ind w:left="709"/>
        <w:rPr>
          <w:rFonts w:ascii="Arial" w:hAnsi="Arial" w:cs="Arial"/>
          <w:sz w:val="20"/>
          <w:szCs w:val="20"/>
          <w:lang w:val="fr-FR"/>
        </w:rPr>
      </w:pPr>
      <w:r w:rsidRPr="00A86354">
        <w:rPr>
          <w:rFonts w:ascii="Arial" w:hAnsi="Arial" w:cs="Arial"/>
          <w:sz w:val="20"/>
          <w:szCs w:val="20"/>
          <w:lang w:val="fr-FR"/>
        </w:rPr>
        <w:t>[...]</w:t>
      </w:r>
    </w:p>
    <w:p w:rsidRPr="00A86354" w:rsidR="00EE303D" w:rsidP="00A86354" w:rsidRDefault="00EE303D" w14:paraId="6FC2767B" w14:textId="1248318A">
      <w:pPr>
        <w:ind w:left="709"/>
        <w:rPr>
          <w:rFonts w:ascii="Arial" w:hAnsi="Arial" w:cs="Arial"/>
          <w:sz w:val="20"/>
          <w:szCs w:val="20"/>
          <w:lang w:val="fr-FR"/>
        </w:rPr>
      </w:pPr>
    </w:p>
    <w:p w:rsidRPr="00A86354" w:rsidR="00EE303D" w:rsidP="00A86354" w:rsidRDefault="00EE303D" w14:paraId="76A1417D" w14:textId="7D6F2B06">
      <w:pPr>
        <w:ind w:left="709"/>
        <w:rPr>
          <w:rFonts w:ascii="Arial" w:hAnsi="Arial" w:cs="Arial"/>
          <w:sz w:val="20"/>
          <w:szCs w:val="20"/>
          <w:lang w:val="fr-FR"/>
        </w:rPr>
      </w:pPr>
      <w:r w:rsidRPr="00A86354">
        <w:rPr>
          <w:rFonts w:ascii="Arial" w:hAnsi="Arial" w:cs="Arial"/>
          <w:sz w:val="20"/>
          <w:szCs w:val="20"/>
          <w:lang w:val="fr-FR"/>
        </w:rPr>
        <w:t xml:space="preserve">1.4. </w:t>
      </w:r>
      <w:r w:rsidRPr="00A86354" w:rsidR="000B5655">
        <w:rPr>
          <w:rFonts w:ascii="Arial" w:hAnsi="Arial" w:cs="Arial"/>
          <w:sz w:val="20"/>
          <w:szCs w:val="20"/>
          <w:lang w:val="fr-FR"/>
        </w:rPr>
        <w:t>Les conseils, les services sociaux, les aides et les consultations aux familles ainsi que les possibilités de participation des personnes handicapées elles-mêmes et des organisations de et pour les personnes handicapées devraient être développés en tant que conditions indispensables pour parvenir à une intégration par une participation et une égalité des chances complètes.</w:t>
      </w:r>
      <w:r w:rsidRPr="00A86354" w:rsidR="000807D5">
        <w:rPr>
          <w:rFonts w:ascii="Arial" w:hAnsi="Arial" w:cs="Arial"/>
          <w:sz w:val="20"/>
          <w:szCs w:val="20"/>
          <w:lang w:val="fr-FR"/>
        </w:rPr>
        <w:t> »</w:t>
      </w:r>
      <w:r w:rsidRPr="00A86354">
        <w:rPr>
          <w:rFonts w:ascii="Arial" w:hAnsi="Arial" w:cs="Arial"/>
          <w:sz w:val="20"/>
          <w:szCs w:val="20"/>
          <w:lang w:val="fr-FR"/>
        </w:rPr>
        <w:t xml:space="preserve"> </w:t>
      </w:r>
    </w:p>
    <w:p w:rsidRPr="00A86354" w:rsidR="00317329" w:rsidP="00120255" w:rsidRDefault="00317329" w14:paraId="141E77DE" w14:textId="77777777">
      <w:pPr>
        <w:rPr>
          <w:rFonts w:ascii="Arial" w:hAnsi="Arial" w:cs="Arial"/>
          <w:b/>
          <w:bCs/>
          <w:lang w:val="fr-FR"/>
        </w:rPr>
      </w:pPr>
    </w:p>
    <w:p w:rsidRPr="00A86354" w:rsidR="00EE303D" w:rsidP="00CE016A" w:rsidRDefault="000B5655" w14:paraId="5130CB06" w14:textId="1C2660C8">
      <w:pPr>
        <w:pStyle w:val="ListParagraph"/>
        <w:numPr>
          <w:ilvl w:val="0"/>
          <w:numId w:val="1"/>
        </w:numPr>
        <w:ind w:left="0" w:firstLine="0"/>
        <w:rPr>
          <w:rFonts w:cs="Arial"/>
          <w:lang w:val="fr-FR"/>
        </w:rPr>
      </w:pPr>
      <w:r w:rsidRPr="00A86354">
        <w:rPr>
          <w:rFonts w:cs="Arial"/>
          <w:lang w:val="fr-FR"/>
        </w:rPr>
        <w:t>Selon cette recommandation</w:t>
      </w:r>
      <w:r w:rsidRPr="00A86354" w:rsidR="00317329">
        <w:rPr>
          <w:rFonts w:cs="Arial"/>
          <w:lang w:val="fr-FR"/>
        </w:rPr>
        <w:t>,</w:t>
      </w:r>
      <w:r w:rsidRPr="00A86354" w:rsidR="00317329">
        <w:rPr>
          <w:rFonts w:cs="Arial"/>
          <w:b/>
          <w:bCs/>
          <w:lang w:val="fr-FR"/>
        </w:rPr>
        <w:t xml:space="preserve"> </w:t>
      </w:r>
      <w:r w:rsidRPr="00A86354">
        <w:rPr>
          <w:rFonts w:cs="Arial"/>
          <w:lang w:val="fr-FR"/>
        </w:rPr>
        <w:t>les règlements sur la construction d</w:t>
      </w:r>
      <w:r w:rsidRPr="00A86354" w:rsidR="0006032C">
        <w:rPr>
          <w:rFonts w:cs="Arial"/>
          <w:lang w:val="fr-FR"/>
        </w:rPr>
        <w:t>’</w:t>
      </w:r>
      <w:r w:rsidRPr="00A86354">
        <w:rPr>
          <w:rFonts w:cs="Arial"/>
          <w:lang w:val="fr-FR"/>
        </w:rPr>
        <w:t>habitations et de bâtiments utilisés par le public devraient prévoir des normes fondamentales relatives à l</w:t>
      </w:r>
      <w:r w:rsidRPr="00A86354" w:rsidR="0006032C">
        <w:rPr>
          <w:rFonts w:cs="Arial"/>
          <w:lang w:val="fr-FR"/>
        </w:rPr>
        <w:t>’</w:t>
      </w:r>
      <w:r w:rsidRPr="00A86354">
        <w:rPr>
          <w:rFonts w:cs="Arial"/>
          <w:lang w:val="fr-FR"/>
        </w:rPr>
        <w:t>accès à tous ces locaux et aux aménagements pour les personnes handicapées</w:t>
      </w:r>
      <w:r w:rsidRPr="00A86354">
        <w:rPr>
          <w:rFonts w:cs="Arial"/>
          <w:b/>
          <w:bCs/>
          <w:lang w:val="fr-FR"/>
        </w:rPr>
        <w:t xml:space="preserve"> </w:t>
      </w:r>
      <w:r w:rsidRPr="00A86354" w:rsidR="00EE303D">
        <w:rPr>
          <w:rFonts w:cs="Arial"/>
          <w:lang w:val="fr-FR"/>
        </w:rPr>
        <w:t>(point 2.2, tit</w:t>
      </w:r>
      <w:r w:rsidRPr="00A86354">
        <w:rPr>
          <w:rFonts w:cs="Arial"/>
          <w:lang w:val="fr-FR"/>
        </w:rPr>
        <w:t>r</w:t>
      </w:r>
      <w:r w:rsidRPr="00A86354" w:rsidR="00EE303D">
        <w:rPr>
          <w:rFonts w:cs="Arial"/>
          <w:lang w:val="fr-FR"/>
        </w:rPr>
        <w:t xml:space="preserve">e VIII). </w:t>
      </w:r>
      <w:r w:rsidRPr="00A86354">
        <w:rPr>
          <w:rFonts w:cs="Arial"/>
          <w:lang w:val="fr-FR"/>
        </w:rPr>
        <w:t>Les autorités responsables des transports publics devraient</w:t>
      </w:r>
      <w:r w:rsidRPr="00A86354" w:rsidR="00EE303D">
        <w:rPr>
          <w:rFonts w:cs="Arial"/>
          <w:lang w:val="fr-FR"/>
        </w:rPr>
        <w:t xml:space="preserve"> </w:t>
      </w:r>
      <w:r w:rsidRPr="00A86354">
        <w:rPr>
          <w:rFonts w:cs="Arial"/>
          <w:lang w:val="fr-FR"/>
        </w:rPr>
        <w:t xml:space="preserve">rendre possible ou faciliter les déplacements de passagers handicapés en vue de promouvoir leur intégration sociale et économique par la création ou </w:t>
      </w:r>
      <w:r w:rsidRPr="00A86354">
        <w:rPr>
          <w:rFonts w:cs="Arial"/>
          <w:lang w:val="fr-FR"/>
        </w:rPr>
        <w:lastRenderedPageBreak/>
        <w:t>l</w:t>
      </w:r>
      <w:r w:rsidRPr="00A86354" w:rsidR="0006032C">
        <w:rPr>
          <w:rFonts w:cs="Arial"/>
          <w:lang w:val="fr-FR"/>
        </w:rPr>
        <w:t>’</w:t>
      </w:r>
      <w:r w:rsidRPr="00A86354">
        <w:rPr>
          <w:rFonts w:cs="Arial"/>
          <w:lang w:val="fr-FR"/>
        </w:rPr>
        <w:t xml:space="preserve">aménagement de moyens publics de transport, y compris les infrastructures </w:t>
      </w:r>
      <w:r w:rsidRPr="00A86354" w:rsidR="00EE303D">
        <w:rPr>
          <w:rFonts w:cs="Arial"/>
          <w:lang w:val="fr-FR"/>
        </w:rPr>
        <w:t xml:space="preserve">(point 3.1). </w:t>
      </w:r>
      <w:r w:rsidRPr="00A86354">
        <w:rPr>
          <w:rFonts w:cs="Arial"/>
          <w:lang w:val="fr-FR"/>
        </w:rPr>
        <w:t>Les personnes handicapées devraient pouvoir vivre de manière autonome dans des logements ordinaires, et être intégrées dans la société. Dans ce but, tous les nouveaux logements devraient être accessibles et pouvoir être adaptés</w:t>
      </w:r>
      <w:r w:rsidRPr="00A86354" w:rsidR="00EE303D">
        <w:rPr>
          <w:rFonts w:cs="Arial"/>
          <w:lang w:val="fr-FR"/>
        </w:rPr>
        <w:t xml:space="preserve">, </w:t>
      </w:r>
      <w:r w:rsidRPr="00A86354">
        <w:rPr>
          <w:rFonts w:cs="Arial"/>
          <w:lang w:val="fr-FR"/>
        </w:rPr>
        <w:t>et</w:t>
      </w:r>
      <w:r w:rsidRPr="00A86354">
        <w:rPr>
          <w:lang w:val="fr-FR"/>
        </w:rPr>
        <w:t xml:space="preserve"> </w:t>
      </w:r>
      <w:r w:rsidRPr="00A86354">
        <w:rPr>
          <w:rFonts w:cs="Arial"/>
          <w:lang w:val="fr-FR"/>
        </w:rPr>
        <w:t>des subventions et/ou des exemptions d</w:t>
      </w:r>
      <w:r w:rsidRPr="00A86354" w:rsidR="0006032C">
        <w:rPr>
          <w:rFonts w:cs="Arial"/>
          <w:lang w:val="fr-FR"/>
        </w:rPr>
        <w:t>’</w:t>
      </w:r>
      <w:r w:rsidRPr="00A86354">
        <w:rPr>
          <w:rFonts w:cs="Arial"/>
          <w:lang w:val="fr-FR"/>
        </w:rPr>
        <w:t>impôts devraient être accordées pour l</w:t>
      </w:r>
      <w:r w:rsidRPr="00A86354" w:rsidR="0006032C">
        <w:rPr>
          <w:rFonts w:cs="Arial"/>
          <w:lang w:val="fr-FR"/>
        </w:rPr>
        <w:t>’</w:t>
      </w:r>
      <w:r w:rsidRPr="00A86354">
        <w:rPr>
          <w:rFonts w:cs="Arial"/>
          <w:lang w:val="fr-FR"/>
        </w:rPr>
        <w:t>adaptation des logements existants</w:t>
      </w:r>
      <w:r w:rsidRPr="00A86354" w:rsidR="00EE303D">
        <w:rPr>
          <w:rFonts w:cs="Arial"/>
          <w:lang w:val="fr-FR"/>
        </w:rPr>
        <w:t xml:space="preserve"> (points 4.1 </w:t>
      </w:r>
      <w:r w:rsidRPr="00A86354">
        <w:rPr>
          <w:rFonts w:cs="Arial"/>
          <w:lang w:val="fr-FR"/>
        </w:rPr>
        <w:t>et</w:t>
      </w:r>
      <w:r w:rsidRPr="00A86354" w:rsidR="00EE303D">
        <w:rPr>
          <w:rFonts w:cs="Arial"/>
          <w:lang w:val="fr-FR"/>
        </w:rPr>
        <w:t xml:space="preserve"> 4.4). </w:t>
      </w:r>
      <w:r w:rsidRPr="00A86354">
        <w:rPr>
          <w:rFonts w:cs="Arial"/>
          <w:lang w:val="fr-FR"/>
        </w:rPr>
        <w:t>En vue d</w:t>
      </w:r>
      <w:r w:rsidRPr="00A86354" w:rsidR="0006032C">
        <w:rPr>
          <w:rFonts w:cs="Arial"/>
          <w:lang w:val="fr-FR"/>
        </w:rPr>
        <w:t>’</w:t>
      </w:r>
      <w:r w:rsidRPr="00A86354">
        <w:rPr>
          <w:rFonts w:cs="Arial"/>
          <w:lang w:val="fr-FR"/>
        </w:rPr>
        <w:t>encourager la participation la plus large possible des personnes handicapées à la vie en société</w:t>
      </w:r>
      <w:r w:rsidRPr="00A86354" w:rsidR="00EE303D">
        <w:rPr>
          <w:rFonts w:cs="Arial"/>
          <w:lang w:val="fr-FR"/>
        </w:rPr>
        <w:t xml:space="preserve">, </w:t>
      </w:r>
      <w:r w:rsidRPr="00A86354">
        <w:rPr>
          <w:rFonts w:cs="Arial"/>
          <w:lang w:val="fr-FR"/>
        </w:rPr>
        <w:t>la</w:t>
      </w:r>
      <w:r w:rsidRPr="00A86354" w:rsidR="00EE303D">
        <w:rPr>
          <w:rFonts w:cs="Arial"/>
          <w:lang w:val="fr-FR"/>
        </w:rPr>
        <w:t xml:space="preserve"> </w:t>
      </w:r>
      <w:r w:rsidRPr="00A86354">
        <w:rPr>
          <w:rFonts w:cs="Arial"/>
          <w:lang w:val="fr-FR"/>
        </w:rPr>
        <w:t>recommandation</w:t>
      </w:r>
      <w:r w:rsidRPr="00A86354" w:rsidR="00EE303D">
        <w:rPr>
          <w:rFonts w:cs="Arial"/>
          <w:lang w:val="fr-FR"/>
        </w:rPr>
        <w:t xml:space="preserve"> </w:t>
      </w:r>
      <w:r w:rsidRPr="00A86354">
        <w:rPr>
          <w:rFonts w:cs="Arial"/>
          <w:lang w:val="fr-FR"/>
        </w:rPr>
        <w:t>indique qu</w:t>
      </w:r>
      <w:r w:rsidRPr="00A86354" w:rsidR="0006032C">
        <w:rPr>
          <w:rFonts w:cs="Arial"/>
          <w:lang w:val="fr-FR"/>
        </w:rPr>
        <w:t>’</w:t>
      </w:r>
      <w:r w:rsidRPr="00A86354">
        <w:rPr>
          <w:rFonts w:cs="Arial"/>
          <w:lang w:val="fr-FR"/>
        </w:rPr>
        <w:t>une gamme importante d</w:t>
      </w:r>
      <w:r w:rsidRPr="00A86354" w:rsidR="0006032C">
        <w:rPr>
          <w:rFonts w:cs="Arial"/>
          <w:lang w:val="fr-FR"/>
        </w:rPr>
        <w:t>’</w:t>
      </w:r>
      <w:r w:rsidRPr="00A86354">
        <w:rPr>
          <w:rFonts w:cs="Arial"/>
          <w:lang w:val="fr-FR"/>
        </w:rPr>
        <w:t>aides techniques peut s</w:t>
      </w:r>
      <w:r w:rsidRPr="00A86354" w:rsidR="0006032C">
        <w:rPr>
          <w:rFonts w:cs="Arial"/>
          <w:lang w:val="fr-FR"/>
        </w:rPr>
        <w:t>’</w:t>
      </w:r>
      <w:r w:rsidRPr="00A86354">
        <w:rPr>
          <w:rFonts w:cs="Arial"/>
          <w:lang w:val="fr-FR"/>
        </w:rPr>
        <w:t>avérer nécessaire ou utile à l</w:t>
      </w:r>
      <w:r w:rsidRPr="00A86354" w:rsidR="0006032C">
        <w:rPr>
          <w:rFonts w:cs="Arial"/>
          <w:lang w:val="fr-FR"/>
        </w:rPr>
        <w:t>’</w:t>
      </w:r>
      <w:r w:rsidRPr="00A86354">
        <w:rPr>
          <w:rFonts w:cs="Arial"/>
          <w:lang w:val="fr-FR"/>
        </w:rPr>
        <w:t xml:space="preserve">exercice des activités professionnelles quotidiennes </w:t>
      </w:r>
      <w:r w:rsidRPr="00A86354" w:rsidR="00EE303D">
        <w:rPr>
          <w:rFonts w:cs="Arial"/>
          <w:lang w:val="fr-FR"/>
        </w:rPr>
        <w:t>(point 5.1).</w:t>
      </w:r>
    </w:p>
    <w:p w:rsidRPr="00A86354" w:rsidR="008061CC" w:rsidP="008061CC" w:rsidRDefault="008061CC" w14:paraId="79CD5731" w14:textId="4141575E">
      <w:pPr>
        <w:pStyle w:val="ListParagraph"/>
        <w:rPr>
          <w:rFonts w:cs="Arial"/>
          <w:lang w:val="fr-FR"/>
        </w:rPr>
      </w:pPr>
    </w:p>
    <w:p w:rsidRPr="00A86354" w:rsidR="008061CC" w:rsidP="00CE016A" w:rsidRDefault="001175C7" w14:paraId="4B6EAFE4" w14:textId="61603D1A">
      <w:pPr>
        <w:pStyle w:val="ListParagraph"/>
        <w:numPr>
          <w:ilvl w:val="0"/>
          <w:numId w:val="1"/>
        </w:numPr>
        <w:ind w:left="0" w:firstLine="0"/>
        <w:rPr>
          <w:rFonts w:cs="Arial"/>
          <w:lang w:val="fr-FR"/>
        </w:rPr>
      </w:pPr>
      <w:r w:rsidRPr="00A86354">
        <w:rPr>
          <w:rFonts w:cs="Arial"/>
          <w:lang w:val="fr-FR"/>
        </w:rPr>
        <w:t xml:space="preserve">La </w:t>
      </w:r>
      <w:r w:rsidRPr="00A86354" w:rsidR="00A909D2">
        <w:rPr>
          <w:rFonts w:cs="Arial"/>
          <w:lang w:val="fr-FR"/>
        </w:rPr>
        <w:t>Recomm</w:t>
      </w:r>
      <w:r w:rsidRPr="00A86354">
        <w:rPr>
          <w:rFonts w:cs="Arial"/>
          <w:lang w:val="fr-FR"/>
        </w:rPr>
        <w:t>a</w:t>
      </w:r>
      <w:r w:rsidRPr="00A86354" w:rsidR="00A909D2">
        <w:rPr>
          <w:rFonts w:cs="Arial"/>
          <w:lang w:val="fr-FR"/>
        </w:rPr>
        <w:t xml:space="preserve">ndation Rec(2006)5 </w:t>
      </w:r>
      <w:r w:rsidRPr="00A86354" w:rsidR="00E45089">
        <w:rPr>
          <w:rFonts w:cs="Arial"/>
          <w:lang w:val="fr-FR"/>
        </w:rPr>
        <w:t>du Comité des Ministres aux États membres sur le Plan d</w:t>
      </w:r>
      <w:r w:rsidRPr="00A86354" w:rsidR="0006032C">
        <w:rPr>
          <w:rFonts w:cs="Arial"/>
          <w:lang w:val="fr-FR"/>
        </w:rPr>
        <w:t>’</w:t>
      </w:r>
      <w:r w:rsidRPr="00A86354" w:rsidR="00E45089">
        <w:rPr>
          <w:rFonts w:cs="Arial"/>
          <w:lang w:val="fr-FR"/>
        </w:rPr>
        <w:t>action du Conseil de l</w:t>
      </w:r>
      <w:r w:rsidRPr="00A86354" w:rsidR="0006032C">
        <w:rPr>
          <w:rFonts w:cs="Arial"/>
          <w:lang w:val="fr-FR"/>
        </w:rPr>
        <w:t>’</w:t>
      </w:r>
      <w:r w:rsidRPr="00A86354" w:rsidR="00E45089">
        <w:rPr>
          <w:rFonts w:cs="Arial"/>
          <w:lang w:val="fr-FR"/>
        </w:rPr>
        <w:t>Europe pour la promotion des droits et de la pleine participation des personnes handicapées à la société</w:t>
      </w:r>
      <w:r w:rsidRPr="00A86354" w:rsidR="000807D5">
        <w:rPr>
          <w:rFonts w:cs="Arial"/>
          <w:lang w:val="fr-FR"/>
        </w:rPr>
        <w:t> :</w:t>
      </w:r>
      <w:r w:rsidRPr="00A86354" w:rsidR="00E45089">
        <w:rPr>
          <w:rFonts w:cs="Arial"/>
          <w:lang w:val="fr-FR"/>
        </w:rPr>
        <w:t xml:space="preserve"> améliorer la qualité de vie des personnes handicapées en Europe 2006-2015 a été adoptée par le Comité des Ministres le 5 avril</w:t>
      </w:r>
      <w:r w:rsidRPr="00A86354" w:rsidR="00A909D2">
        <w:rPr>
          <w:rFonts w:cs="Arial"/>
          <w:lang w:val="fr-FR"/>
        </w:rPr>
        <w:t xml:space="preserve"> 2006. </w:t>
      </w:r>
      <w:r w:rsidRPr="00A86354" w:rsidR="00BB66E2">
        <w:rPr>
          <w:rFonts w:cs="Arial"/>
          <w:lang w:val="fr-FR"/>
        </w:rPr>
        <w:t>Le plan d</w:t>
      </w:r>
      <w:r w:rsidRPr="00A86354" w:rsidR="0006032C">
        <w:rPr>
          <w:rFonts w:cs="Arial"/>
          <w:lang w:val="fr-FR"/>
        </w:rPr>
        <w:t>’</w:t>
      </w:r>
      <w:r w:rsidRPr="00A86354" w:rsidR="00BB66E2">
        <w:rPr>
          <w:rFonts w:cs="Arial"/>
          <w:lang w:val="fr-FR"/>
        </w:rPr>
        <w:t>action figurant en annexe de la recommandation</w:t>
      </w:r>
      <w:r w:rsidRPr="00A86354" w:rsidR="00A909D2">
        <w:rPr>
          <w:rFonts w:cs="Arial"/>
          <w:lang w:val="fr-FR"/>
        </w:rPr>
        <w:t xml:space="preserve"> </w:t>
      </w:r>
      <w:r w:rsidRPr="00A86354" w:rsidR="00BB66E2">
        <w:rPr>
          <w:rFonts w:cs="Arial"/>
          <w:lang w:val="fr-FR"/>
        </w:rPr>
        <w:t>prévoit,</w:t>
      </w:r>
      <w:r w:rsidRPr="00A86354" w:rsidR="00A909D2">
        <w:rPr>
          <w:rFonts w:cs="Arial"/>
          <w:lang w:val="fr-FR"/>
        </w:rPr>
        <w:t xml:space="preserve"> </w:t>
      </w:r>
      <w:r w:rsidRPr="00A86354" w:rsidR="00BB66E2">
        <w:rPr>
          <w:rFonts w:cs="Arial"/>
          <w:lang w:val="fr-FR"/>
        </w:rPr>
        <w:t>aux fins de promouvoir les droits et la pleine participation des personnes handicapées à la société</w:t>
      </w:r>
      <w:r w:rsidRPr="00A86354" w:rsidR="00A909D2">
        <w:rPr>
          <w:rFonts w:cs="Arial"/>
          <w:lang w:val="fr-FR"/>
        </w:rPr>
        <w:t xml:space="preserve">, </w:t>
      </w:r>
      <w:r w:rsidRPr="00A86354" w:rsidR="00BB66E2">
        <w:rPr>
          <w:rFonts w:cs="Arial"/>
          <w:lang w:val="fr-FR"/>
        </w:rPr>
        <w:t>des lignes d</w:t>
      </w:r>
      <w:r w:rsidRPr="00A86354" w:rsidR="0006032C">
        <w:rPr>
          <w:rFonts w:cs="Arial"/>
          <w:lang w:val="fr-FR"/>
        </w:rPr>
        <w:t>’</w:t>
      </w:r>
      <w:r w:rsidRPr="00A86354" w:rsidR="00BB66E2">
        <w:rPr>
          <w:rFonts w:cs="Arial"/>
          <w:lang w:val="fr-FR"/>
        </w:rPr>
        <w:t>action dans ce domaine comprenant des objectifs généraux et des actions spécifiques à entreprendre</w:t>
      </w:r>
      <w:r w:rsidRPr="00A86354" w:rsidR="00A909D2">
        <w:rPr>
          <w:rFonts w:cs="Arial"/>
          <w:lang w:val="fr-FR"/>
        </w:rPr>
        <w:t xml:space="preserve"> </w:t>
      </w:r>
      <w:r w:rsidRPr="00A86354" w:rsidR="00BB66E2">
        <w:rPr>
          <w:rFonts w:cs="Arial"/>
          <w:lang w:val="fr-FR"/>
        </w:rPr>
        <w:t>par les États membres</w:t>
      </w:r>
      <w:r w:rsidRPr="00A86354" w:rsidR="00A909D2">
        <w:rPr>
          <w:rFonts w:cs="Arial"/>
          <w:lang w:val="fr-FR"/>
        </w:rPr>
        <w:t xml:space="preserve">. </w:t>
      </w:r>
      <w:r w:rsidRPr="00A86354" w:rsidR="00E45089">
        <w:rPr>
          <w:rFonts w:cs="Arial"/>
          <w:lang w:val="fr-FR"/>
        </w:rPr>
        <w:t>Selon le</w:t>
      </w:r>
      <w:r w:rsidRPr="00A86354" w:rsidR="00A909D2">
        <w:rPr>
          <w:rFonts w:cs="Arial"/>
          <w:lang w:val="fr-FR"/>
        </w:rPr>
        <w:t xml:space="preserve"> </w:t>
      </w:r>
      <w:r w:rsidRPr="00A86354" w:rsidR="00E45089">
        <w:rPr>
          <w:rFonts w:cs="Arial"/>
          <w:lang w:val="fr-FR"/>
        </w:rPr>
        <w:t>plan d</w:t>
      </w:r>
      <w:r w:rsidRPr="00A86354" w:rsidR="0006032C">
        <w:rPr>
          <w:rFonts w:cs="Arial"/>
          <w:lang w:val="fr-FR"/>
        </w:rPr>
        <w:t>’</w:t>
      </w:r>
      <w:r w:rsidRPr="00A86354" w:rsidR="00E45089">
        <w:rPr>
          <w:rFonts w:cs="Arial"/>
          <w:lang w:val="fr-FR"/>
        </w:rPr>
        <w:t xml:space="preserve">action, les actions spécifiques à entreprendre par les États membres concernant </w:t>
      </w:r>
      <w:r w:rsidRPr="00A86354" w:rsidR="00BB66E2">
        <w:rPr>
          <w:rFonts w:cs="Arial"/>
          <w:lang w:val="fr-FR"/>
        </w:rPr>
        <w:t>l</w:t>
      </w:r>
      <w:r w:rsidRPr="00A86354" w:rsidR="0006032C">
        <w:rPr>
          <w:rFonts w:cs="Arial"/>
          <w:lang w:val="fr-FR"/>
        </w:rPr>
        <w:t>’</w:t>
      </w:r>
      <w:r w:rsidRPr="00A86354" w:rsidR="004857E6">
        <w:rPr>
          <w:rFonts w:cs="Arial"/>
          <w:lang w:val="fr-FR"/>
        </w:rPr>
        <w:t>« </w:t>
      </w:r>
      <w:r w:rsidRPr="00A86354" w:rsidR="00E45089">
        <w:rPr>
          <w:rFonts w:cs="Arial"/>
          <w:lang w:val="fr-FR"/>
        </w:rPr>
        <w:t>environnement bâti</w:t>
      </w:r>
      <w:r w:rsidRPr="00A86354" w:rsidR="000807D5">
        <w:rPr>
          <w:rFonts w:cs="Arial"/>
          <w:lang w:val="fr-FR"/>
        </w:rPr>
        <w:t> »</w:t>
      </w:r>
      <w:r w:rsidRPr="00A86354" w:rsidR="00E45089">
        <w:rPr>
          <w:rFonts w:cs="Arial"/>
          <w:lang w:val="fr-FR"/>
        </w:rPr>
        <w:t xml:space="preserve"> </w:t>
      </w:r>
      <w:r w:rsidRPr="00A86354" w:rsidR="00BB66E2">
        <w:rPr>
          <w:rFonts w:cs="Arial"/>
          <w:lang w:val="fr-FR"/>
        </w:rPr>
        <w:t>sont notamment les suivantes</w:t>
      </w:r>
      <w:r w:rsidRPr="00A86354" w:rsidR="000807D5">
        <w:rPr>
          <w:rFonts w:cs="Arial"/>
          <w:lang w:val="fr-FR"/>
        </w:rPr>
        <w:t> :</w:t>
      </w:r>
      <w:r w:rsidRPr="00A86354" w:rsidR="00A909D2">
        <w:rPr>
          <w:rFonts w:cs="Arial"/>
          <w:lang w:val="fr-FR"/>
        </w:rPr>
        <w:t xml:space="preserve">   </w:t>
      </w:r>
    </w:p>
    <w:p w:rsidRPr="00A86354" w:rsidR="008061CC" w:rsidP="00167F92" w:rsidRDefault="008061CC" w14:paraId="59E8AE54" w14:textId="4E74C107">
      <w:pPr>
        <w:rPr>
          <w:rFonts w:ascii="Arial" w:hAnsi="Arial" w:cs="Arial"/>
          <w:b/>
          <w:bCs/>
          <w:lang w:val="fr-FR"/>
        </w:rPr>
      </w:pPr>
    </w:p>
    <w:p w:rsidRPr="00A86354" w:rsidR="00A909D2" w:rsidP="00A86354" w:rsidRDefault="000807D5" w14:paraId="4171C0D2" w14:textId="0555233D">
      <w:pPr>
        <w:shd w:val="clear" w:color="auto" w:fill="FFFFFF"/>
        <w:tabs>
          <w:tab w:val="left" w:pos="1134"/>
        </w:tabs>
        <w:ind w:left="709"/>
        <w:rPr>
          <w:rFonts w:ascii="Arial" w:hAnsi="Arial" w:cs="Arial"/>
          <w:sz w:val="20"/>
          <w:szCs w:val="20"/>
          <w:lang w:val="fr-FR" w:eastAsia="en-GB"/>
        </w:rPr>
      </w:pPr>
      <w:r w:rsidRPr="00A86354">
        <w:rPr>
          <w:rFonts w:ascii="Arial" w:hAnsi="Arial" w:cs="Arial"/>
          <w:sz w:val="20"/>
          <w:szCs w:val="20"/>
          <w:lang w:val="fr-FR" w:eastAsia="en-GB"/>
        </w:rPr>
        <w:t>« </w:t>
      </w:r>
      <w:r w:rsidRPr="00A86354" w:rsidR="00A909D2">
        <w:rPr>
          <w:rFonts w:ascii="Arial" w:hAnsi="Arial" w:cs="Arial"/>
          <w:sz w:val="20"/>
          <w:szCs w:val="20"/>
          <w:lang w:val="fr-FR" w:eastAsia="en-GB"/>
        </w:rPr>
        <w:t>i.</w:t>
      </w:r>
      <w:r w:rsidRPr="00A86354" w:rsidR="00624C66">
        <w:rPr>
          <w:rFonts w:ascii="Arial" w:hAnsi="Arial" w:cs="Arial"/>
          <w:sz w:val="20"/>
          <w:szCs w:val="20"/>
          <w:lang w:val="fr-FR" w:eastAsia="en-GB"/>
        </w:rPr>
        <w:tab/>
      </w:r>
      <w:r w:rsidRPr="00A86354" w:rsidR="00BB66E2">
        <w:rPr>
          <w:rFonts w:ascii="Arial" w:hAnsi="Arial" w:cs="Arial"/>
          <w:sz w:val="20"/>
          <w:szCs w:val="20"/>
          <w:lang w:val="fr-FR" w:eastAsia="en-GB"/>
        </w:rPr>
        <w:t>v</w:t>
      </w:r>
      <w:r w:rsidRPr="00A86354" w:rsidR="00E45089">
        <w:rPr>
          <w:rFonts w:ascii="Arial" w:hAnsi="Arial" w:cs="Arial"/>
          <w:sz w:val="20"/>
          <w:szCs w:val="20"/>
          <w:lang w:val="fr-FR" w:eastAsia="en-GB"/>
        </w:rPr>
        <w:t>eiller à ce que la création d</w:t>
      </w:r>
      <w:r w:rsidRPr="00A86354" w:rsidR="0006032C">
        <w:rPr>
          <w:rFonts w:ascii="Arial" w:hAnsi="Arial" w:cs="Arial"/>
          <w:sz w:val="20"/>
          <w:szCs w:val="20"/>
          <w:lang w:val="fr-FR" w:eastAsia="en-GB"/>
        </w:rPr>
        <w:t>’</w:t>
      </w:r>
      <w:r w:rsidRPr="00A86354" w:rsidR="00E45089">
        <w:rPr>
          <w:rFonts w:ascii="Arial" w:hAnsi="Arial" w:cs="Arial"/>
          <w:sz w:val="20"/>
          <w:szCs w:val="20"/>
          <w:lang w:val="fr-FR" w:eastAsia="en-GB"/>
        </w:rPr>
        <w:t>un environnement bâti dénué d</w:t>
      </w:r>
      <w:r w:rsidRPr="00A86354" w:rsidR="0006032C">
        <w:rPr>
          <w:rFonts w:ascii="Arial" w:hAnsi="Arial" w:cs="Arial"/>
          <w:sz w:val="20"/>
          <w:szCs w:val="20"/>
          <w:lang w:val="fr-FR" w:eastAsia="en-GB"/>
        </w:rPr>
        <w:t>’</w:t>
      </w:r>
      <w:r w:rsidRPr="00A86354" w:rsidR="00E45089">
        <w:rPr>
          <w:rFonts w:ascii="Arial" w:hAnsi="Arial" w:cs="Arial"/>
          <w:sz w:val="20"/>
          <w:szCs w:val="20"/>
          <w:lang w:val="fr-FR" w:eastAsia="en-GB"/>
        </w:rPr>
        <w:t>obstacles figure comme objectif général dans toutes les politiques pertinentes</w:t>
      </w:r>
      <w:r w:rsidRPr="00A86354">
        <w:rPr>
          <w:rFonts w:ascii="Arial" w:hAnsi="Arial" w:cs="Arial"/>
          <w:sz w:val="20"/>
          <w:szCs w:val="20"/>
          <w:lang w:val="fr-FR" w:eastAsia="en-GB"/>
        </w:rPr>
        <w:t> ;</w:t>
      </w:r>
    </w:p>
    <w:p w:rsidRPr="00A86354" w:rsidR="00A909D2" w:rsidP="00A86354" w:rsidRDefault="00A909D2" w14:paraId="43FF10C8" w14:textId="2E359109">
      <w:pPr>
        <w:shd w:val="clear" w:color="auto" w:fill="FFFFFF"/>
        <w:tabs>
          <w:tab w:val="left" w:pos="1134"/>
        </w:tabs>
        <w:ind w:left="709"/>
        <w:rPr>
          <w:rFonts w:ascii="Arial" w:hAnsi="Arial" w:cs="Arial"/>
          <w:sz w:val="20"/>
          <w:szCs w:val="20"/>
          <w:lang w:val="fr-FR" w:eastAsia="en-GB"/>
        </w:rPr>
      </w:pPr>
      <w:r w:rsidRPr="00A86354">
        <w:rPr>
          <w:rFonts w:ascii="Arial" w:hAnsi="Arial" w:cs="Arial"/>
          <w:sz w:val="20"/>
          <w:szCs w:val="20"/>
          <w:lang w:val="fr-FR" w:eastAsia="en-GB"/>
        </w:rPr>
        <w:t>ii.</w:t>
      </w:r>
      <w:r w:rsidRPr="00A86354" w:rsidR="00624C66">
        <w:rPr>
          <w:rFonts w:ascii="Arial" w:hAnsi="Arial" w:cs="Arial"/>
          <w:sz w:val="20"/>
          <w:szCs w:val="20"/>
          <w:lang w:val="fr-FR" w:eastAsia="en-GB"/>
        </w:rPr>
        <w:tab/>
      </w:r>
      <w:r w:rsidRPr="00A86354" w:rsidR="00E45089">
        <w:rPr>
          <w:rFonts w:ascii="Arial" w:hAnsi="Arial" w:cs="Arial"/>
          <w:sz w:val="20"/>
          <w:szCs w:val="20"/>
          <w:lang w:val="fr-FR" w:eastAsia="en-GB"/>
        </w:rPr>
        <w:t>élaborer des lignes directrices et des normes ainsi que, si nécessaire, une législation pour promouvoir l</w:t>
      </w:r>
      <w:r w:rsidRPr="00A86354" w:rsidR="0006032C">
        <w:rPr>
          <w:rFonts w:ascii="Arial" w:hAnsi="Arial" w:cs="Arial"/>
          <w:sz w:val="20"/>
          <w:szCs w:val="20"/>
          <w:lang w:val="fr-FR" w:eastAsia="en-GB"/>
        </w:rPr>
        <w:t>’</w:t>
      </w:r>
      <w:r w:rsidRPr="00A86354" w:rsidR="00E45089">
        <w:rPr>
          <w:rFonts w:ascii="Arial" w:hAnsi="Arial" w:cs="Arial"/>
          <w:sz w:val="20"/>
          <w:szCs w:val="20"/>
          <w:lang w:val="fr-FR" w:eastAsia="en-GB"/>
        </w:rPr>
        <w:t>accessibilité et la facilité d</w:t>
      </w:r>
      <w:r w:rsidRPr="00A86354" w:rsidR="0006032C">
        <w:rPr>
          <w:rFonts w:ascii="Arial" w:hAnsi="Arial" w:cs="Arial"/>
          <w:sz w:val="20"/>
          <w:szCs w:val="20"/>
          <w:lang w:val="fr-FR" w:eastAsia="en-GB"/>
        </w:rPr>
        <w:t>’</w:t>
      </w:r>
      <w:r w:rsidRPr="00A86354" w:rsidR="00E45089">
        <w:rPr>
          <w:rFonts w:ascii="Arial" w:hAnsi="Arial" w:cs="Arial"/>
          <w:sz w:val="20"/>
          <w:szCs w:val="20"/>
          <w:lang w:val="fr-FR" w:eastAsia="en-GB"/>
        </w:rPr>
        <w:t>utilisation des bâtiments publics et des espaces publics intérieurs et extérieurs pour les personnes handicapées, en tenant compte de la nature spécifique des monuments historiques</w:t>
      </w:r>
      <w:r w:rsidRPr="00A86354" w:rsidR="000807D5">
        <w:rPr>
          <w:rFonts w:ascii="Arial" w:hAnsi="Arial" w:cs="Arial"/>
          <w:sz w:val="20"/>
          <w:szCs w:val="20"/>
          <w:lang w:val="fr-FR" w:eastAsia="en-GB"/>
        </w:rPr>
        <w:t> ;</w:t>
      </w:r>
    </w:p>
    <w:p w:rsidRPr="00A86354" w:rsidR="008061CC" w:rsidP="00A86354" w:rsidRDefault="002C5D46" w14:paraId="701E14B0" w14:textId="7E2B2E2D">
      <w:pPr>
        <w:shd w:val="clear" w:color="auto" w:fill="FFFFFF"/>
        <w:ind w:left="709"/>
        <w:rPr>
          <w:rFonts w:ascii="Arial" w:hAnsi="Arial" w:cs="Arial"/>
          <w:sz w:val="20"/>
          <w:szCs w:val="20"/>
          <w:lang w:val="fr-FR" w:eastAsia="en-GB"/>
        </w:rPr>
      </w:pPr>
      <w:r w:rsidRPr="00A86354">
        <w:rPr>
          <w:rFonts w:ascii="Arial" w:hAnsi="Arial" w:cs="Arial"/>
          <w:sz w:val="20"/>
          <w:szCs w:val="20"/>
          <w:lang w:val="fr-FR" w:eastAsia="en-GB"/>
        </w:rPr>
        <w:t>[...]</w:t>
      </w:r>
      <w:r w:rsidRPr="00A86354" w:rsidR="000807D5">
        <w:rPr>
          <w:rFonts w:ascii="Arial" w:hAnsi="Arial" w:cs="Arial"/>
          <w:sz w:val="20"/>
          <w:szCs w:val="20"/>
          <w:lang w:val="fr-FR" w:eastAsia="en-GB"/>
        </w:rPr>
        <w:t> »</w:t>
      </w:r>
    </w:p>
    <w:p w:rsidRPr="00A86354" w:rsidR="008061CC" w:rsidP="00167F92" w:rsidRDefault="008061CC" w14:paraId="778C1BA2" w14:textId="550D1B39">
      <w:pPr>
        <w:rPr>
          <w:rFonts w:ascii="Arial" w:hAnsi="Arial" w:cs="Arial"/>
          <w:b/>
          <w:bCs/>
          <w:lang w:val="fr-FR"/>
        </w:rPr>
      </w:pPr>
    </w:p>
    <w:p w:rsidRPr="00A86354" w:rsidR="00A909D2" w:rsidP="00CE016A" w:rsidRDefault="00D21D0A" w14:paraId="3428CBFC" w14:textId="583F351F">
      <w:pPr>
        <w:pStyle w:val="ListParagraph"/>
        <w:numPr>
          <w:ilvl w:val="0"/>
          <w:numId w:val="1"/>
        </w:numPr>
        <w:ind w:left="0" w:firstLine="0"/>
        <w:rPr>
          <w:rFonts w:cs="Arial"/>
          <w:lang w:val="fr-FR"/>
        </w:rPr>
      </w:pPr>
      <w:r w:rsidRPr="00A86354">
        <w:rPr>
          <w:rFonts w:cs="Arial"/>
          <w:lang w:val="fr-FR"/>
        </w:rPr>
        <w:t>Concernant</w:t>
      </w:r>
      <w:r w:rsidRPr="00A86354" w:rsidR="00A909D2">
        <w:rPr>
          <w:rFonts w:cs="Arial"/>
          <w:lang w:val="fr-FR"/>
        </w:rPr>
        <w:t xml:space="preserve"> </w:t>
      </w:r>
      <w:r w:rsidRPr="00A86354">
        <w:rPr>
          <w:rFonts w:cs="Arial"/>
          <w:lang w:val="fr-FR"/>
        </w:rPr>
        <w:t>l</w:t>
      </w:r>
      <w:r w:rsidRPr="00A86354" w:rsidR="0006032C">
        <w:rPr>
          <w:rFonts w:cs="Arial"/>
          <w:lang w:val="fr-FR"/>
        </w:rPr>
        <w:t>’</w:t>
      </w:r>
      <w:r w:rsidRPr="00A86354">
        <w:rPr>
          <w:rFonts w:cs="Arial"/>
          <w:lang w:val="fr-FR"/>
        </w:rPr>
        <w:t>accessibilité</w:t>
      </w:r>
      <w:r w:rsidRPr="00A86354" w:rsidR="00A909D2">
        <w:rPr>
          <w:rFonts w:cs="Arial"/>
          <w:lang w:val="fr-FR"/>
        </w:rPr>
        <w:t xml:space="preserve"> </w:t>
      </w:r>
      <w:r w:rsidRPr="00A86354">
        <w:rPr>
          <w:rFonts w:cs="Arial"/>
          <w:lang w:val="fr-FR"/>
        </w:rPr>
        <w:t>des</w:t>
      </w:r>
      <w:r w:rsidRPr="00A86354" w:rsidR="00A909D2">
        <w:rPr>
          <w:rFonts w:cs="Arial"/>
          <w:lang w:val="fr-FR"/>
        </w:rPr>
        <w:t xml:space="preserve"> transport</w:t>
      </w:r>
      <w:r w:rsidRPr="00A86354">
        <w:rPr>
          <w:rFonts w:cs="Arial"/>
          <w:lang w:val="fr-FR"/>
        </w:rPr>
        <w:t>s</w:t>
      </w:r>
      <w:r w:rsidRPr="00A86354" w:rsidR="00A909D2">
        <w:rPr>
          <w:rFonts w:cs="Arial"/>
          <w:lang w:val="fr-FR"/>
        </w:rPr>
        <w:t xml:space="preserve">, </w:t>
      </w:r>
      <w:r w:rsidRPr="00A86354">
        <w:rPr>
          <w:rFonts w:cs="Arial"/>
          <w:lang w:val="fr-FR"/>
        </w:rPr>
        <w:t>les</w:t>
      </w:r>
      <w:r w:rsidRPr="00A86354" w:rsidR="00A909D2">
        <w:rPr>
          <w:rFonts w:cs="Arial"/>
          <w:lang w:val="fr-FR"/>
        </w:rPr>
        <w:t xml:space="preserve"> actions</w:t>
      </w:r>
      <w:r w:rsidRPr="00A86354" w:rsidR="00432B7A">
        <w:rPr>
          <w:rFonts w:cs="Arial"/>
          <w:lang w:val="fr-FR"/>
        </w:rPr>
        <w:t xml:space="preserve"> </w:t>
      </w:r>
      <w:r w:rsidRPr="00A86354">
        <w:rPr>
          <w:rFonts w:cs="Arial"/>
          <w:lang w:val="fr-FR"/>
        </w:rPr>
        <w:t xml:space="preserve">spécifiques requises par la </w:t>
      </w:r>
      <w:r w:rsidRPr="00A86354" w:rsidR="00332C99">
        <w:rPr>
          <w:rFonts w:cs="Arial"/>
          <w:lang w:val="fr-FR"/>
        </w:rPr>
        <w:t>R</w:t>
      </w:r>
      <w:r w:rsidRPr="00A86354" w:rsidR="00432B7A">
        <w:rPr>
          <w:rFonts w:cs="Arial"/>
          <w:lang w:val="fr-FR"/>
        </w:rPr>
        <w:t>ecomm</w:t>
      </w:r>
      <w:r w:rsidRPr="00A86354">
        <w:rPr>
          <w:rFonts w:cs="Arial"/>
          <w:lang w:val="fr-FR"/>
        </w:rPr>
        <w:t>a</w:t>
      </w:r>
      <w:r w:rsidRPr="00A86354" w:rsidR="00432B7A">
        <w:rPr>
          <w:rFonts w:cs="Arial"/>
          <w:lang w:val="fr-FR"/>
        </w:rPr>
        <w:t>ndation Rec(2006)5</w:t>
      </w:r>
      <w:r w:rsidRPr="00A86354" w:rsidR="00A909D2">
        <w:rPr>
          <w:rFonts w:cs="Arial"/>
          <w:lang w:val="fr-FR"/>
        </w:rPr>
        <w:t xml:space="preserve"> </w:t>
      </w:r>
      <w:r w:rsidRPr="00A86354">
        <w:rPr>
          <w:rFonts w:cs="Arial"/>
          <w:lang w:val="fr-FR"/>
        </w:rPr>
        <w:t>sont notamment les suivantes</w:t>
      </w:r>
      <w:r w:rsidRPr="00A86354" w:rsidR="000807D5">
        <w:rPr>
          <w:rFonts w:cs="Arial"/>
          <w:lang w:val="fr-FR"/>
        </w:rPr>
        <w:t>:</w:t>
      </w:r>
      <w:r w:rsidRPr="00A86354" w:rsidR="00432B7A">
        <w:rPr>
          <w:rFonts w:cs="Arial"/>
          <w:lang w:val="fr-FR"/>
        </w:rPr>
        <w:t xml:space="preserve"> </w:t>
      </w:r>
      <w:r w:rsidRPr="00A86354">
        <w:rPr>
          <w:rFonts w:cs="Arial"/>
          <w:lang w:val="fr-FR"/>
        </w:rPr>
        <w:t>tenir compte des recommandations, rapports et directives adoptés par les instances internationales, visant à assurer l</w:t>
      </w:r>
      <w:r w:rsidRPr="00A86354" w:rsidR="0006032C">
        <w:rPr>
          <w:rFonts w:cs="Arial"/>
          <w:lang w:val="fr-FR"/>
        </w:rPr>
        <w:t>’</w:t>
      </w:r>
      <w:r w:rsidRPr="00A86354">
        <w:rPr>
          <w:rFonts w:cs="Arial"/>
          <w:lang w:val="fr-FR"/>
        </w:rPr>
        <w:t>accessibilité des services et des infrastructures de transport, y compris l</w:t>
      </w:r>
      <w:r w:rsidRPr="00A86354" w:rsidR="0006032C">
        <w:rPr>
          <w:rFonts w:cs="Arial"/>
          <w:lang w:val="fr-FR"/>
        </w:rPr>
        <w:t>’</w:t>
      </w:r>
      <w:r w:rsidRPr="00A86354">
        <w:rPr>
          <w:rFonts w:cs="Arial"/>
          <w:lang w:val="fr-FR"/>
        </w:rPr>
        <w:t>environnement bâti</w:t>
      </w:r>
      <w:r w:rsidRPr="00A86354" w:rsidR="000807D5">
        <w:rPr>
          <w:rFonts w:cs="Arial"/>
          <w:lang w:val="fr-FR"/>
        </w:rPr>
        <w:t> ;</w:t>
      </w:r>
      <w:r w:rsidRPr="00A86354" w:rsidR="00432B7A">
        <w:rPr>
          <w:rFonts w:cs="Arial"/>
          <w:lang w:val="fr-FR"/>
        </w:rPr>
        <w:t xml:space="preserve"> </w:t>
      </w:r>
      <w:r w:rsidRPr="00A86354">
        <w:rPr>
          <w:rFonts w:cs="Arial"/>
          <w:lang w:val="fr-FR"/>
        </w:rPr>
        <w:t>suivre et évaluer l</w:t>
      </w:r>
      <w:r w:rsidRPr="00A86354" w:rsidR="0006032C">
        <w:rPr>
          <w:rFonts w:cs="Arial"/>
          <w:lang w:val="fr-FR"/>
        </w:rPr>
        <w:t>’</w:t>
      </w:r>
      <w:r w:rsidRPr="00A86354">
        <w:rPr>
          <w:rFonts w:cs="Arial"/>
          <w:lang w:val="fr-FR"/>
        </w:rPr>
        <w:t>application des politiques de transports accessibles</w:t>
      </w:r>
      <w:r w:rsidRPr="00A86354" w:rsidR="000807D5">
        <w:rPr>
          <w:rFonts w:cs="Arial"/>
          <w:lang w:val="fr-FR"/>
        </w:rPr>
        <w:t> ;</w:t>
      </w:r>
      <w:r w:rsidRPr="00A86354" w:rsidR="00432B7A">
        <w:rPr>
          <w:rFonts w:cs="Arial"/>
          <w:lang w:val="fr-FR"/>
        </w:rPr>
        <w:t xml:space="preserve"> </w:t>
      </w:r>
      <w:r w:rsidRPr="00A86354">
        <w:rPr>
          <w:rFonts w:cs="Arial"/>
          <w:lang w:val="fr-FR"/>
        </w:rPr>
        <w:t>veiller à ce que les opérateurs de transports publics incluent obligatoirement une sensibilisation au handicap dans le programme général de formation</w:t>
      </w:r>
      <w:r w:rsidRPr="00A86354" w:rsidR="000807D5">
        <w:rPr>
          <w:rFonts w:cs="Arial"/>
          <w:lang w:val="fr-FR"/>
        </w:rPr>
        <w:t> ;</w:t>
      </w:r>
      <w:r w:rsidRPr="00A86354" w:rsidR="00432B7A">
        <w:rPr>
          <w:rFonts w:cs="Arial"/>
          <w:lang w:val="fr-FR"/>
        </w:rPr>
        <w:t xml:space="preserve"> </w:t>
      </w:r>
      <w:r w:rsidRPr="00A86354">
        <w:rPr>
          <w:rFonts w:cs="Arial"/>
          <w:lang w:val="fr-FR"/>
        </w:rPr>
        <w:t>inciter et encourager les transporteurs privés à offrir des services accessibles à tous</w:t>
      </w:r>
      <w:r w:rsidRPr="00A86354" w:rsidR="000807D5">
        <w:rPr>
          <w:rFonts w:cs="Arial"/>
          <w:lang w:val="fr-FR"/>
        </w:rPr>
        <w:t> ;</w:t>
      </w:r>
      <w:r w:rsidRPr="00A86354">
        <w:rPr>
          <w:rFonts w:cs="Arial"/>
          <w:lang w:val="fr-FR"/>
        </w:rPr>
        <w:t xml:space="preserve"> veiller à ce que l</w:t>
      </w:r>
      <w:r w:rsidRPr="00A86354" w:rsidR="0006032C">
        <w:rPr>
          <w:rFonts w:cs="Arial"/>
          <w:lang w:val="fr-FR"/>
        </w:rPr>
        <w:t>’</w:t>
      </w:r>
      <w:r w:rsidRPr="00A86354">
        <w:rPr>
          <w:rFonts w:cs="Arial"/>
          <w:lang w:val="fr-FR"/>
        </w:rPr>
        <w:t>information sur les transports publics soit accessible autant que possible dans divers formats et par le biais de différents systèmes de communication afin de répondre aux besoins des personnes handicapées, et protéger par la loi les personnes handicapées contre toute discrimination dans l</w:t>
      </w:r>
      <w:r w:rsidRPr="00A86354" w:rsidR="0006032C">
        <w:rPr>
          <w:rFonts w:cs="Arial"/>
          <w:lang w:val="fr-FR"/>
        </w:rPr>
        <w:t>’</w:t>
      </w:r>
      <w:r w:rsidRPr="00A86354">
        <w:rPr>
          <w:rFonts w:cs="Arial"/>
          <w:lang w:val="fr-FR"/>
        </w:rPr>
        <w:t>accès aux moyens de transport</w:t>
      </w:r>
      <w:r w:rsidRPr="00A86354" w:rsidR="00432B7A">
        <w:rPr>
          <w:rFonts w:cs="Arial"/>
          <w:lang w:val="fr-FR"/>
        </w:rPr>
        <w:t xml:space="preserve">. </w:t>
      </w:r>
    </w:p>
    <w:p w:rsidRPr="00A86354" w:rsidR="008061CC" w:rsidP="00167F92" w:rsidRDefault="008061CC" w14:paraId="47D96CC4" w14:textId="7B2E8992">
      <w:pPr>
        <w:rPr>
          <w:rFonts w:ascii="Arial" w:hAnsi="Arial" w:cs="Arial"/>
          <w:b/>
          <w:bCs/>
          <w:lang w:val="fr-FR"/>
        </w:rPr>
      </w:pPr>
    </w:p>
    <w:p w:rsidRPr="00A86354" w:rsidR="008061CC" w:rsidP="00CE016A" w:rsidRDefault="00580B57" w14:paraId="4360953C" w14:textId="2F7D86F8">
      <w:pPr>
        <w:pStyle w:val="ListParagraph"/>
        <w:numPr>
          <w:ilvl w:val="0"/>
          <w:numId w:val="1"/>
        </w:numPr>
        <w:ind w:left="0" w:firstLine="0"/>
        <w:rPr>
          <w:rFonts w:cs="Arial"/>
          <w:lang w:val="fr-FR"/>
        </w:rPr>
      </w:pPr>
      <w:r w:rsidRPr="00A86354">
        <w:rPr>
          <w:rFonts w:cs="Arial"/>
          <w:lang w:val="fr-FR"/>
        </w:rPr>
        <w:t>Concernant</w:t>
      </w:r>
      <w:r w:rsidRPr="00A86354" w:rsidR="00A909D2">
        <w:rPr>
          <w:rFonts w:cs="Arial"/>
          <w:lang w:val="fr-FR"/>
        </w:rPr>
        <w:t xml:space="preserve"> </w:t>
      </w:r>
      <w:r w:rsidRPr="00A86354">
        <w:rPr>
          <w:rFonts w:cs="Arial"/>
          <w:lang w:val="fr-FR"/>
        </w:rPr>
        <w:t xml:space="preserve">la </w:t>
      </w:r>
      <w:r w:rsidRPr="00A86354" w:rsidR="00A909D2">
        <w:rPr>
          <w:rFonts w:cs="Arial"/>
          <w:lang w:val="fr-FR"/>
        </w:rPr>
        <w:t>protection</w:t>
      </w:r>
      <w:r w:rsidRPr="00A86354">
        <w:rPr>
          <w:rFonts w:cs="Arial"/>
          <w:lang w:val="fr-FR"/>
        </w:rPr>
        <w:t xml:space="preserve"> sociale</w:t>
      </w:r>
      <w:r w:rsidRPr="00A86354" w:rsidR="00A909D2">
        <w:rPr>
          <w:rFonts w:cs="Arial"/>
          <w:lang w:val="fr-FR"/>
        </w:rPr>
        <w:t xml:space="preserve">, </w:t>
      </w:r>
      <w:r w:rsidRPr="00A86354">
        <w:rPr>
          <w:rFonts w:cs="Arial"/>
          <w:lang w:val="fr-FR"/>
        </w:rPr>
        <w:t>la</w:t>
      </w:r>
      <w:r w:rsidRPr="00A86354" w:rsidR="00A909D2">
        <w:rPr>
          <w:rFonts w:cs="Arial"/>
          <w:lang w:val="fr-FR"/>
        </w:rPr>
        <w:t xml:space="preserve"> </w:t>
      </w:r>
      <w:r w:rsidRPr="00A86354">
        <w:rPr>
          <w:rFonts w:cs="Arial"/>
          <w:lang w:val="fr-FR"/>
        </w:rPr>
        <w:t>recommandation</w:t>
      </w:r>
      <w:r w:rsidRPr="00A86354" w:rsidR="00A909D2">
        <w:rPr>
          <w:rFonts w:cs="Arial"/>
          <w:lang w:val="fr-FR"/>
        </w:rPr>
        <w:t xml:space="preserve"> </w:t>
      </w:r>
      <w:r w:rsidRPr="00A86354">
        <w:rPr>
          <w:rFonts w:cs="Arial"/>
          <w:lang w:val="fr-FR"/>
        </w:rPr>
        <w:t>dispose</w:t>
      </w:r>
      <w:r w:rsidRPr="00A86354" w:rsidR="000807D5">
        <w:rPr>
          <w:rFonts w:cs="Arial"/>
          <w:lang w:val="fr-FR"/>
        </w:rPr>
        <w:t> :</w:t>
      </w:r>
      <w:r w:rsidRPr="00A86354" w:rsidR="00A909D2">
        <w:rPr>
          <w:rFonts w:cs="Arial"/>
          <w:lang w:val="fr-FR"/>
        </w:rPr>
        <w:t xml:space="preserve"> </w:t>
      </w:r>
    </w:p>
    <w:p w:rsidRPr="00A86354" w:rsidR="00A909D2" w:rsidP="00A86354" w:rsidRDefault="00A909D2" w14:paraId="02287787" w14:textId="657E2D1D">
      <w:pPr>
        <w:pStyle w:val="ListParagraph"/>
        <w:ind w:left="360"/>
        <w:rPr>
          <w:rFonts w:cs="Arial"/>
          <w:lang w:val="fr-FR"/>
        </w:rPr>
      </w:pPr>
    </w:p>
    <w:p w:rsidRPr="00A86354" w:rsidR="00A909D2" w:rsidP="00A86354" w:rsidRDefault="000807D5" w14:paraId="3FCBC581" w14:textId="7E418FC6">
      <w:pPr>
        <w:shd w:val="clear" w:color="auto" w:fill="FFFFFF"/>
        <w:ind w:left="709"/>
        <w:rPr>
          <w:rFonts w:ascii="Arial" w:hAnsi="Arial" w:cs="Arial"/>
          <w:sz w:val="20"/>
          <w:szCs w:val="20"/>
          <w:lang w:val="fr-FR" w:eastAsia="en-GB"/>
        </w:rPr>
      </w:pPr>
      <w:r w:rsidRPr="00A86354">
        <w:rPr>
          <w:rFonts w:ascii="Arial" w:hAnsi="Arial" w:cs="Arial"/>
          <w:sz w:val="20"/>
          <w:szCs w:val="20"/>
          <w:lang w:val="fr-FR" w:eastAsia="en-GB"/>
        </w:rPr>
        <w:t>« </w:t>
      </w:r>
      <w:r w:rsidRPr="00A86354" w:rsidR="00A909D2">
        <w:rPr>
          <w:rFonts w:ascii="Arial" w:hAnsi="Arial" w:cs="Arial"/>
          <w:sz w:val="20"/>
          <w:szCs w:val="20"/>
          <w:lang w:val="fr-FR" w:eastAsia="en-GB"/>
        </w:rPr>
        <w:t xml:space="preserve">3.11.3.  </w:t>
      </w:r>
      <w:r w:rsidRPr="00A86354" w:rsidR="00D21D0A">
        <w:rPr>
          <w:rFonts w:ascii="Arial" w:hAnsi="Arial" w:cs="Arial"/>
          <w:sz w:val="20"/>
          <w:szCs w:val="20"/>
          <w:lang w:val="fr-FR" w:eastAsia="en-GB"/>
        </w:rPr>
        <w:t>Actions spécifiques à entreprendre par les Etats membres</w:t>
      </w:r>
    </w:p>
    <w:p w:rsidRPr="00A86354" w:rsidR="00A909D2" w:rsidP="00A86354" w:rsidRDefault="002C5D46" w14:paraId="0764BC1C" w14:textId="6EF419C7">
      <w:pPr>
        <w:shd w:val="clear" w:color="auto" w:fill="FFFFFF"/>
        <w:ind w:left="709"/>
        <w:rPr>
          <w:rFonts w:ascii="Arial" w:hAnsi="Arial" w:cs="Arial"/>
          <w:sz w:val="20"/>
          <w:szCs w:val="20"/>
          <w:lang w:val="fr-FR" w:eastAsia="en-GB"/>
        </w:rPr>
      </w:pPr>
      <w:r w:rsidRPr="00A86354">
        <w:rPr>
          <w:rFonts w:ascii="Arial" w:hAnsi="Arial" w:cs="Arial"/>
          <w:sz w:val="20"/>
          <w:szCs w:val="20"/>
          <w:lang w:val="fr-FR" w:eastAsia="en-GB"/>
        </w:rPr>
        <w:t>[...]</w:t>
      </w:r>
    </w:p>
    <w:p w:rsidRPr="00A86354" w:rsidR="00A909D2" w:rsidP="00A86354" w:rsidRDefault="00A909D2" w14:paraId="3E913445" w14:textId="5809D0BF">
      <w:pPr>
        <w:shd w:val="clear" w:color="auto" w:fill="FFFFFF"/>
        <w:tabs>
          <w:tab w:val="left" w:pos="1134"/>
        </w:tabs>
        <w:ind w:left="709"/>
        <w:rPr>
          <w:rFonts w:ascii="Arial" w:hAnsi="Arial" w:cs="Arial"/>
          <w:sz w:val="20"/>
          <w:szCs w:val="20"/>
          <w:lang w:val="fr-FR" w:eastAsia="en-GB"/>
        </w:rPr>
      </w:pPr>
      <w:r w:rsidRPr="00A86354">
        <w:rPr>
          <w:rFonts w:ascii="Arial" w:hAnsi="Arial" w:cs="Arial"/>
          <w:sz w:val="20"/>
          <w:szCs w:val="20"/>
          <w:lang w:val="fr-FR" w:eastAsia="en-GB"/>
        </w:rPr>
        <w:t>ii.</w:t>
      </w:r>
      <w:r w:rsidRPr="00A86354" w:rsidR="00624C66">
        <w:rPr>
          <w:rFonts w:ascii="Arial" w:hAnsi="Arial" w:cs="Arial"/>
          <w:sz w:val="20"/>
          <w:szCs w:val="20"/>
          <w:lang w:val="fr-FR" w:eastAsia="en-GB"/>
        </w:rPr>
        <w:tab/>
      </w:r>
      <w:r w:rsidRPr="00A86354" w:rsidR="00D21D0A">
        <w:rPr>
          <w:rFonts w:ascii="Arial" w:hAnsi="Arial" w:cs="Arial"/>
          <w:sz w:val="20"/>
          <w:szCs w:val="20"/>
          <w:lang w:val="fr-FR" w:eastAsia="en-GB"/>
        </w:rPr>
        <w:t>veiller à ce que l</w:t>
      </w:r>
      <w:r w:rsidRPr="00A86354" w:rsidR="0006032C">
        <w:rPr>
          <w:rFonts w:ascii="Arial" w:hAnsi="Arial" w:cs="Arial"/>
          <w:sz w:val="20"/>
          <w:szCs w:val="20"/>
          <w:lang w:val="fr-FR" w:eastAsia="en-GB"/>
        </w:rPr>
        <w:t>’</w:t>
      </w:r>
      <w:r w:rsidRPr="00A86354" w:rsidR="00D21D0A">
        <w:rPr>
          <w:rFonts w:ascii="Arial" w:hAnsi="Arial" w:cs="Arial"/>
          <w:sz w:val="20"/>
          <w:szCs w:val="20"/>
          <w:lang w:val="fr-FR" w:eastAsia="en-GB"/>
        </w:rPr>
        <w:t>attribution des prestations de sécurité et d</w:t>
      </w:r>
      <w:r w:rsidRPr="00A86354" w:rsidR="0006032C">
        <w:rPr>
          <w:rFonts w:ascii="Arial" w:hAnsi="Arial" w:cs="Arial"/>
          <w:sz w:val="20"/>
          <w:szCs w:val="20"/>
          <w:lang w:val="fr-FR" w:eastAsia="en-GB"/>
        </w:rPr>
        <w:t>’</w:t>
      </w:r>
      <w:r w:rsidRPr="00A86354" w:rsidR="00D21D0A">
        <w:rPr>
          <w:rFonts w:ascii="Arial" w:hAnsi="Arial" w:cs="Arial"/>
          <w:sz w:val="20"/>
          <w:szCs w:val="20"/>
          <w:lang w:val="fr-FR" w:eastAsia="en-GB"/>
        </w:rPr>
        <w:t>assurance sociales et des services sociaux soit basée sur une évaluation pluridisciplinaire fiable des besoins des personnes handicapées et fasse régulièrement l</w:t>
      </w:r>
      <w:r w:rsidRPr="00A86354" w:rsidR="0006032C">
        <w:rPr>
          <w:rFonts w:ascii="Arial" w:hAnsi="Arial" w:cs="Arial"/>
          <w:sz w:val="20"/>
          <w:szCs w:val="20"/>
          <w:lang w:val="fr-FR" w:eastAsia="en-GB"/>
        </w:rPr>
        <w:t>’</w:t>
      </w:r>
      <w:r w:rsidRPr="00A86354" w:rsidR="00D21D0A">
        <w:rPr>
          <w:rFonts w:ascii="Arial" w:hAnsi="Arial" w:cs="Arial"/>
          <w:sz w:val="20"/>
          <w:szCs w:val="20"/>
          <w:lang w:val="fr-FR" w:eastAsia="en-GB"/>
        </w:rPr>
        <w:t>objet de révisions</w:t>
      </w:r>
      <w:r w:rsidRPr="00A86354" w:rsidR="000807D5">
        <w:rPr>
          <w:rFonts w:ascii="Arial" w:hAnsi="Arial" w:cs="Arial"/>
          <w:sz w:val="20"/>
          <w:szCs w:val="20"/>
          <w:lang w:val="fr-FR" w:eastAsia="en-GB"/>
        </w:rPr>
        <w:t> ;</w:t>
      </w:r>
    </w:p>
    <w:p w:rsidRPr="00A86354" w:rsidR="00A909D2" w:rsidP="00A86354" w:rsidRDefault="00A909D2" w14:paraId="638F1A73" w14:textId="0B9A1E5C">
      <w:pPr>
        <w:shd w:val="clear" w:color="auto" w:fill="FFFFFF"/>
        <w:tabs>
          <w:tab w:val="left" w:pos="1134"/>
        </w:tabs>
        <w:ind w:left="709"/>
        <w:rPr>
          <w:rFonts w:ascii="Arial" w:hAnsi="Arial" w:cs="Arial"/>
          <w:sz w:val="20"/>
          <w:szCs w:val="20"/>
          <w:lang w:val="fr-FR" w:eastAsia="en-GB"/>
        </w:rPr>
      </w:pPr>
      <w:r w:rsidRPr="00A86354">
        <w:rPr>
          <w:rFonts w:ascii="Arial" w:hAnsi="Arial" w:cs="Arial"/>
          <w:sz w:val="20"/>
          <w:szCs w:val="20"/>
          <w:lang w:val="fr-FR" w:eastAsia="en-GB"/>
        </w:rPr>
        <w:t>iii.</w:t>
      </w:r>
      <w:r w:rsidRPr="00A86354" w:rsidR="00624C66">
        <w:rPr>
          <w:rFonts w:ascii="Arial" w:hAnsi="Arial" w:cs="Arial"/>
          <w:sz w:val="20"/>
          <w:szCs w:val="20"/>
          <w:lang w:val="fr-FR" w:eastAsia="en-GB"/>
        </w:rPr>
        <w:tab/>
      </w:r>
      <w:r w:rsidRPr="00A86354" w:rsidR="00D21D0A">
        <w:rPr>
          <w:rFonts w:ascii="Arial" w:hAnsi="Arial" w:cs="Arial"/>
          <w:sz w:val="20"/>
          <w:szCs w:val="20"/>
          <w:lang w:val="fr-FR" w:eastAsia="en-GB"/>
        </w:rPr>
        <w:t>veiller à ce que tous les critères et procédures d</w:t>
      </w:r>
      <w:r w:rsidRPr="00A86354" w:rsidR="0006032C">
        <w:rPr>
          <w:rFonts w:ascii="Arial" w:hAnsi="Arial" w:cs="Arial"/>
          <w:sz w:val="20"/>
          <w:szCs w:val="20"/>
          <w:lang w:val="fr-FR" w:eastAsia="en-GB"/>
        </w:rPr>
        <w:t>’</w:t>
      </w:r>
      <w:r w:rsidRPr="00A86354" w:rsidR="00D21D0A">
        <w:rPr>
          <w:rFonts w:ascii="Arial" w:hAnsi="Arial" w:cs="Arial"/>
          <w:sz w:val="20"/>
          <w:szCs w:val="20"/>
          <w:lang w:val="fr-FR" w:eastAsia="en-GB"/>
        </w:rPr>
        <w:t>évaluation des prestations soient accessibles aux personnes handicapées ou à leurs représentants</w:t>
      </w:r>
      <w:r w:rsidRPr="00A86354" w:rsidR="000807D5">
        <w:rPr>
          <w:rFonts w:ascii="Arial" w:hAnsi="Arial" w:cs="Arial"/>
          <w:sz w:val="20"/>
          <w:szCs w:val="20"/>
          <w:lang w:val="fr-FR" w:eastAsia="en-GB"/>
        </w:rPr>
        <w:t> ;</w:t>
      </w:r>
    </w:p>
    <w:p w:rsidRPr="00A86354" w:rsidR="00A909D2" w:rsidP="00A86354" w:rsidRDefault="00A909D2" w14:paraId="03F69063" w14:textId="286C4295">
      <w:pPr>
        <w:shd w:val="clear" w:color="auto" w:fill="FFFFFF"/>
        <w:tabs>
          <w:tab w:val="left" w:pos="1134"/>
        </w:tabs>
        <w:ind w:left="709"/>
        <w:rPr>
          <w:rFonts w:ascii="Arial" w:hAnsi="Arial" w:cs="Arial"/>
          <w:sz w:val="20"/>
          <w:szCs w:val="20"/>
          <w:lang w:val="fr-FR" w:eastAsia="en-GB"/>
        </w:rPr>
      </w:pPr>
      <w:r w:rsidRPr="00A86354">
        <w:rPr>
          <w:rFonts w:ascii="Arial" w:hAnsi="Arial" w:cs="Arial"/>
          <w:sz w:val="20"/>
          <w:szCs w:val="20"/>
          <w:lang w:val="fr-FR" w:eastAsia="en-GB"/>
        </w:rPr>
        <w:lastRenderedPageBreak/>
        <w:t>iv.</w:t>
      </w:r>
      <w:r w:rsidRPr="00A86354" w:rsidR="00624C66">
        <w:rPr>
          <w:rFonts w:ascii="Arial" w:hAnsi="Arial" w:cs="Arial"/>
          <w:sz w:val="20"/>
          <w:szCs w:val="20"/>
          <w:lang w:val="fr-FR" w:eastAsia="en-GB"/>
        </w:rPr>
        <w:tab/>
      </w:r>
      <w:r w:rsidRPr="00A86354" w:rsidR="00D21D0A">
        <w:rPr>
          <w:rFonts w:ascii="Arial" w:hAnsi="Arial" w:cs="Arial"/>
          <w:sz w:val="20"/>
          <w:szCs w:val="20"/>
          <w:lang w:val="fr-FR" w:eastAsia="en-GB"/>
        </w:rPr>
        <w:t>veiller à ce que les services sociaux généraux tiennent compte des besoins spécifiques des personnes handicapées et de leurs familles</w:t>
      </w:r>
      <w:r w:rsidRPr="00A86354" w:rsidR="000807D5">
        <w:rPr>
          <w:rFonts w:ascii="Arial" w:hAnsi="Arial" w:cs="Arial"/>
          <w:sz w:val="20"/>
          <w:szCs w:val="20"/>
          <w:lang w:val="fr-FR" w:eastAsia="en-GB"/>
        </w:rPr>
        <w:t> ;</w:t>
      </w:r>
    </w:p>
    <w:p w:rsidRPr="00A86354" w:rsidR="00A909D2" w:rsidP="00A86354" w:rsidRDefault="002C5D46" w14:paraId="350BF969" w14:textId="7BD96EBE">
      <w:pPr>
        <w:shd w:val="clear" w:color="auto" w:fill="FFFFFF"/>
        <w:ind w:left="709"/>
        <w:rPr>
          <w:rFonts w:ascii="Arial" w:hAnsi="Arial" w:cs="Arial"/>
          <w:sz w:val="20"/>
          <w:szCs w:val="20"/>
          <w:lang w:val="fr-FR" w:eastAsia="en-GB"/>
        </w:rPr>
      </w:pPr>
      <w:r w:rsidRPr="00A86354">
        <w:rPr>
          <w:rFonts w:ascii="Arial" w:hAnsi="Arial" w:cs="Arial"/>
          <w:sz w:val="20"/>
          <w:szCs w:val="20"/>
          <w:lang w:val="fr-FR" w:eastAsia="en-GB"/>
        </w:rPr>
        <w:t>[...]</w:t>
      </w:r>
    </w:p>
    <w:p w:rsidRPr="00A86354" w:rsidR="00A909D2" w:rsidP="00A86354" w:rsidRDefault="00A909D2" w14:paraId="276C06DD" w14:textId="14396B1C">
      <w:pPr>
        <w:shd w:val="clear" w:color="auto" w:fill="FFFFFF"/>
        <w:tabs>
          <w:tab w:val="left" w:pos="1134"/>
        </w:tabs>
        <w:ind w:left="709"/>
        <w:rPr>
          <w:rFonts w:ascii="Arial" w:hAnsi="Arial" w:cs="Arial"/>
          <w:sz w:val="20"/>
          <w:szCs w:val="20"/>
          <w:lang w:val="fr-FR" w:eastAsia="en-GB"/>
        </w:rPr>
      </w:pPr>
      <w:r w:rsidRPr="00A86354">
        <w:rPr>
          <w:rFonts w:ascii="Arial" w:hAnsi="Arial" w:cs="Arial"/>
          <w:sz w:val="20"/>
          <w:szCs w:val="20"/>
          <w:lang w:val="fr-FR" w:eastAsia="en-GB"/>
        </w:rPr>
        <w:t>viii.</w:t>
      </w:r>
      <w:r w:rsidRPr="00A86354" w:rsidR="00624C66">
        <w:rPr>
          <w:rFonts w:ascii="Arial" w:hAnsi="Arial" w:cs="Arial"/>
          <w:sz w:val="20"/>
          <w:szCs w:val="20"/>
          <w:lang w:val="fr-FR" w:eastAsia="en-GB"/>
        </w:rPr>
        <w:tab/>
      </w:r>
      <w:r w:rsidRPr="00A86354" w:rsidR="00D21D0A">
        <w:rPr>
          <w:rFonts w:ascii="Arial" w:hAnsi="Arial" w:cs="Arial"/>
          <w:sz w:val="20"/>
          <w:szCs w:val="20"/>
          <w:lang w:val="fr-FR" w:eastAsia="en-GB"/>
        </w:rPr>
        <w:t>veiller à ce qu</w:t>
      </w:r>
      <w:r w:rsidRPr="00A86354" w:rsidR="0006032C">
        <w:rPr>
          <w:rFonts w:ascii="Arial" w:hAnsi="Arial" w:cs="Arial"/>
          <w:sz w:val="20"/>
          <w:szCs w:val="20"/>
          <w:lang w:val="fr-FR" w:eastAsia="en-GB"/>
        </w:rPr>
        <w:t>’</w:t>
      </w:r>
      <w:r w:rsidRPr="00A86354" w:rsidR="00D21D0A">
        <w:rPr>
          <w:rFonts w:ascii="Arial" w:hAnsi="Arial" w:cs="Arial"/>
          <w:sz w:val="20"/>
          <w:szCs w:val="20"/>
          <w:lang w:val="fr-FR" w:eastAsia="en-GB"/>
        </w:rPr>
        <w:t>il soit tenu compte des besoins spécifiques des personnes handicapées lors de l</w:t>
      </w:r>
      <w:r w:rsidRPr="00A86354" w:rsidR="0006032C">
        <w:rPr>
          <w:rFonts w:ascii="Arial" w:hAnsi="Arial" w:cs="Arial"/>
          <w:sz w:val="20"/>
          <w:szCs w:val="20"/>
          <w:lang w:val="fr-FR" w:eastAsia="en-GB"/>
        </w:rPr>
        <w:t>’</w:t>
      </w:r>
      <w:r w:rsidRPr="00A86354" w:rsidR="00D21D0A">
        <w:rPr>
          <w:rFonts w:ascii="Arial" w:hAnsi="Arial" w:cs="Arial"/>
          <w:sz w:val="20"/>
          <w:szCs w:val="20"/>
          <w:lang w:val="fr-FR" w:eastAsia="en-GB"/>
        </w:rPr>
        <w:t>élaboration des stratégies de lutte contre l</w:t>
      </w:r>
      <w:r w:rsidRPr="00A86354" w:rsidR="0006032C">
        <w:rPr>
          <w:rFonts w:ascii="Arial" w:hAnsi="Arial" w:cs="Arial"/>
          <w:sz w:val="20"/>
          <w:szCs w:val="20"/>
          <w:lang w:val="fr-FR" w:eastAsia="en-GB"/>
        </w:rPr>
        <w:t>’</w:t>
      </w:r>
      <w:r w:rsidRPr="00A86354" w:rsidR="00D21D0A">
        <w:rPr>
          <w:rFonts w:ascii="Arial" w:hAnsi="Arial" w:cs="Arial"/>
          <w:sz w:val="20"/>
          <w:szCs w:val="20"/>
          <w:lang w:val="fr-FR" w:eastAsia="en-GB"/>
        </w:rPr>
        <w:t>exclusion sociale et la pauvreté.</w:t>
      </w:r>
      <w:r w:rsidRPr="00A86354" w:rsidR="000807D5">
        <w:rPr>
          <w:rFonts w:ascii="Arial" w:hAnsi="Arial" w:cs="Arial"/>
          <w:sz w:val="20"/>
          <w:szCs w:val="20"/>
          <w:lang w:val="fr-FR" w:eastAsia="en-GB"/>
        </w:rPr>
        <w:t> »</w:t>
      </w:r>
    </w:p>
    <w:p w:rsidRPr="00A86354" w:rsidR="008061CC" w:rsidP="00167F92" w:rsidRDefault="008061CC" w14:paraId="05C22B9D" w14:textId="637B0377">
      <w:pPr>
        <w:rPr>
          <w:rFonts w:ascii="Arial" w:hAnsi="Arial" w:cs="Arial"/>
          <w:b/>
          <w:bCs/>
          <w:lang w:val="fr-FR"/>
        </w:rPr>
      </w:pPr>
    </w:p>
    <w:p w:rsidRPr="00A86354" w:rsidR="00C711FA" w:rsidP="00167F92" w:rsidRDefault="00C711FA" w14:paraId="0140CFBD" w14:textId="580DEB3A">
      <w:pPr>
        <w:rPr>
          <w:rFonts w:ascii="Arial" w:hAnsi="Arial" w:cs="Arial"/>
          <w:b/>
          <w:bCs/>
          <w:lang w:val="fr-FR"/>
        </w:rPr>
      </w:pPr>
      <w:r w:rsidRPr="00A86354">
        <w:rPr>
          <w:rFonts w:ascii="Arial" w:hAnsi="Arial" w:cs="Arial"/>
          <w:b/>
          <w:bCs/>
          <w:lang w:val="fr-FR"/>
        </w:rPr>
        <w:t>Commiss</w:t>
      </w:r>
      <w:r w:rsidRPr="00A86354" w:rsidR="00FB4F0C">
        <w:rPr>
          <w:rFonts w:ascii="Arial" w:hAnsi="Arial" w:cs="Arial"/>
          <w:b/>
          <w:bCs/>
          <w:lang w:val="fr-FR"/>
        </w:rPr>
        <w:t>aire aux droits de l</w:t>
      </w:r>
      <w:r w:rsidRPr="00A86354" w:rsidR="0006032C">
        <w:rPr>
          <w:rFonts w:ascii="Arial" w:hAnsi="Arial" w:cs="Arial"/>
          <w:b/>
          <w:bCs/>
          <w:lang w:val="fr-FR"/>
        </w:rPr>
        <w:t>’</w:t>
      </w:r>
      <w:r w:rsidRPr="00A86354" w:rsidR="00FB4F0C">
        <w:rPr>
          <w:rFonts w:ascii="Arial" w:hAnsi="Arial" w:cs="Arial"/>
          <w:b/>
          <w:bCs/>
          <w:lang w:val="fr-FR"/>
        </w:rPr>
        <w:t>homme</w:t>
      </w:r>
      <w:r w:rsidRPr="00A86354">
        <w:rPr>
          <w:rFonts w:ascii="Arial" w:hAnsi="Arial" w:cs="Arial"/>
          <w:b/>
          <w:bCs/>
          <w:lang w:val="fr-FR"/>
        </w:rPr>
        <w:t xml:space="preserve"> </w:t>
      </w:r>
    </w:p>
    <w:p w:rsidRPr="00A86354" w:rsidR="008F2F0C" w:rsidP="00261E9F" w:rsidRDefault="008F2F0C" w14:paraId="19C79D8E" w14:textId="19F40B2F">
      <w:pPr>
        <w:rPr>
          <w:rFonts w:ascii="Arial" w:hAnsi="Arial" w:cs="Arial"/>
          <w:b/>
          <w:bCs/>
          <w:lang w:val="fr-FR"/>
        </w:rPr>
      </w:pPr>
    </w:p>
    <w:p w:rsidRPr="00A86354" w:rsidR="00B774F9" w:rsidP="00CE016A" w:rsidRDefault="00D21D0A" w14:paraId="576F5DE1" w14:textId="53C3839D">
      <w:pPr>
        <w:pStyle w:val="ListParagraph"/>
        <w:numPr>
          <w:ilvl w:val="0"/>
          <w:numId w:val="1"/>
        </w:numPr>
        <w:ind w:left="0" w:firstLine="0"/>
        <w:rPr>
          <w:rFonts w:cs="Arial"/>
          <w:b/>
          <w:bCs/>
          <w:lang w:val="fr-FR"/>
        </w:rPr>
      </w:pPr>
      <w:r w:rsidRPr="00A86354">
        <w:rPr>
          <w:rFonts w:cs="Arial"/>
          <w:lang w:val="fr-FR"/>
        </w:rPr>
        <w:t>Dans son rapport du</w:t>
      </w:r>
      <w:r w:rsidRPr="00A86354" w:rsidR="008F2F0C">
        <w:rPr>
          <w:rFonts w:cs="Arial"/>
          <w:lang w:val="fr-FR"/>
        </w:rPr>
        <w:t xml:space="preserve"> 17 </w:t>
      </w:r>
      <w:r w:rsidRPr="00A86354">
        <w:rPr>
          <w:rFonts w:cs="Arial"/>
          <w:lang w:val="fr-FR"/>
        </w:rPr>
        <w:t>février</w:t>
      </w:r>
      <w:r w:rsidRPr="00A86354" w:rsidR="008F2F0C">
        <w:rPr>
          <w:rFonts w:cs="Arial"/>
          <w:lang w:val="fr-FR"/>
        </w:rPr>
        <w:t xml:space="preserve"> 2015</w:t>
      </w:r>
      <w:r w:rsidRPr="00A86354" w:rsidR="00E57739">
        <w:rPr>
          <w:rFonts w:cs="Arial"/>
          <w:lang w:val="fr-FR"/>
        </w:rPr>
        <w:t xml:space="preserve"> suite à </w:t>
      </w:r>
      <w:r w:rsidRPr="00A86354">
        <w:rPr>
          <w:rFonts w:cs="Arial"/>
          <w:lang w:val="fr-FR"/>
        </w:rPr>
        <w:t>sa visite en</w:t>
      </w:r>
      <w:r w:rsidRPr="00A86354" w:rsidR="008F2F0C">
        <w:rPr>
          <w:rFonts w:cs="Arial"/>
          <w:lang w:val="fr-FR"/>
        </w:rPr>
        <w:t xml:space="preserve"> France </w:t>
      </w:r>
      <w:r w:rsidRPr="00A86354">
        <w:rPr>
          <w:rFonts w:cs="Arial"/>
          <w:lang w:val="fr-FR"/>
        </w:rPr>
        <w:t>du</w:t>
      </w:r>
      <w:r w:rsidRPr="00A86354" w:rsidR="008F2F0C">
        <w:rPr>
          <w:rFonts w:cs="Arial"/>
          <w:lang w:val="fr-FR"/>
        </w:rPr>
        <w:t xml:space="preserve"> 22 </w:t>
      </w:r>
      <w:r w:rsidRPr="00A86354">
        <w:rPr>
          <w:rFonts w:cs="Arial"/>
          <w:lang w:val="fr-FR"/>
        </w:rPr>
        <w:t>au</w:t>
      </w:r>
      <w:r w:rsidRPr="00A86354" w:rsidR="008F2F0C">
        <w:rPr>
          <w:rFonts w:cs="Arial"/>
          <w:lang w:val="fr-FR"/>
        </w:rPr>
        <w:t xml:space="preserve"> 26</w:t>
      </w:r>
      <w:r w:rsidRPr="00A86354" w:rsidR="00E57739">
        <w:rPr>
          <w:rFonts w:cs="Arial"/>
          <w:lang w:val="fr-FR"/>
        </w:rPr>
        <w:t> </w:t>
      </w:r>
      <w:r w:rsidRPr="00A86354">
        <w:rPr>
          <w:rFonts w:cs="Arial"/>
          <w:lang w:val="fr-FR"/>
        </w:rPr>
        <w:t>septembre</w:t>
      </w:r>
      <w:r w:rsidRPr="00A86354" w:rsidR="008F2F0C">
        <w:rPr>
          <w:rFonts w:cs="Arial"/>
          <w:lang w:val="fr-FR"/>
        </w:rPr>
        <w:t xml:space="preserve"> 2014, </w:t>
      </w:r>
      <w:r w:rsidRPr="00A86354">
        <w:rPr>
          <w:rFonts w:cs="Arial"/>
          <w:lang w:val="fr-FR"/>
        </w:rPr>
        <w:t>le Commissaire</w:t>
      </w:r>
      <w:r w:rsidRPr="00A86354" w:rsidR="0086069F">
        <w:rPr>
          <w:lang w:val="fr-FR"/>
        </w:rPr>
        <w:t xml:space="preserve"> </w:t>
      </w:r>
      <w:r w:rsidRPr="00A86354" w:rsidR="0086069F">
        <w:rPr>
          <w:rFonts w:cs="Arial"/>
          <w:lang w:val="fr-FR"/>
        </w:rPr>
        <w:t>Nils Muižnieks</w:t>
      </w:r>
      <w:r w:rsidRPr="00A86354" w:rsidR="00B774F9">
        <w:rPr>
          <w:rFonts w:cs="Arial"/>
          <w:lang w:val="fr-FR"/>
        </w:rPr>
        <w:t xml:space="preserve"> </w:t>
      </w:r>
      <w:r w:rsidRPr="00A86354">
        <w:rPr>
          <w:rFonts w:cs="Arial"/>
          <w:lang w:val="fr-FR"/>
        </w:rPr>
        <w:t>a pris</w:t>
      </w:r>
      <w:r w:rsidRPr="00A86354" w:rsidR="00B774F9">
        <w:rPr>
          <w:rFonts w:cs="Arial"/>
          <w:lang w:val="fr-FR"/>
        </w:rPr>
        <w:t xml:space="preserve"> note </w:t>
      </w:r>
      <w:r w:rsidRPr="00A86354">
        <w:rPr>
          <w:rFonts w:cs="Arial"/>
          <w:lang w:val="fr-FR"/>
        </w:rPr>
        <w:t>des progrès marqués en</w:t>
      </w:r>
      <w:r w:rsidRPr="00A86354" w:rsidR="00B774F9">
        <w:rPr>
          <w:rFonts w:cs="Arial"/>
          <w:lang w:val="fr-FR"/>
        </w:rPr>
        <w:t xml:space="preserve"> </w:t>
      </w:r>
      <w:r w:rsidRPr="00A86354" w:rsidR="0086069F">
        <w:rPr>
          <w:rFonts w:cs="Arial"/>
          <w:lang w:val="fr-FR"/>
        </w:rPr>
        <w:t>France</w:t>
      </w:r>
      <w:r w:rsidRPr="00A86354" w:rsidR="00B774F9">
        <w:rPr>
          <w:rFonts w:cs="Arial"/>
          <w:lang w:val="fr-FR"/>
        </w:rPr>
        <w:t xml:space="preserve"> </w:t>
      </w:r>
      <w:r w:rsidRPr="00A86354" w:rsidR="00E57739">
        <w:rPr>
          <w:rFonts w:cs="Arial"/>
          <w:lang w:val="fr-FR"/>
        </w:rPr>
        <w:t>avec la</w:t>
      </w:r>
      <w:r w:rsidRPr="00A86354" w:rsidR="00B774F9">
        <w:rPr>
          <w:rFonts w:cs="Arial"/>
          <w:lang w:val="fr-FR"/>
        </w:rPr>
        <w:t xml:space="preserve"> cr</w:t>
      </w:r>
      <w:r w:rsidRPr="00A86354" w:rsidR="00E57739">
        <w:rPr>
          <w:rFonts w:cs="Arial"/>
          <w:lang w:val="fr-FR"/>
        </w:rPr>
        <w:t>é</w:t>
      </w:r>
      <w:r w:rsidRPr="00A86354" w:rsidR="00B774F9">
        <w:rPr>
          <w:rFonts w:cs="Arial"/>
          <w:lang w:val="fr-FR"/>
        </w:rPr>
        <w:t xml:space="preserve">ation </w:t>
      </w:r>
      <w:r w:rsidRPr="00A86354" w:rsidR="00E57739">
        <w:rPr>
          <w:rFonts w:cs="Arial"/>
          <w:lang w:val="fr-FR"/>
        </w:rPr>
        <w:t>des</w:t>
      </w:r>
      <w:r w:rsidRPr="00A86354" w:rsidR="00B774F9">
        <w:rPr>
          <w:rFonts w:cs="Arial"/>
          <w:lang w:val="fr-FR"/>
        </w:rPr>
        <w:t xml:space="preserve"> MDPH</w:t>
      </w:r>
      <w:r w:rsidRPr="00A86354" w:rsidR="00E57739">
        <w:rPr>
          <w:rFonts w:cs="Arial"/>
          <w:lang w:val="fr-FR"/>
        </w:rPr>
        <w:t>,</w:t>
      </w:r>
      <w:r w:rsidRPr="00A86354" w:rsidR="00411894">
        <w:rPr>
          <w:rFonts w:cs="Arial"/>
          <w:lang w:val="fr-FR"/>
        </w:rPr>
        <w:t xml:space="preserve"> </w:t>
      </w:r>
      <w:r w:rsidRPr="00A86354" w:rsidR="00E57739">
        <w:rPr>
          <w:rFonts w:cs="Arial"/>
          <w:lang w:val="fr-FR"/>
        </w:rPr>
        <w:t>mais s</w:t>
      </w:r>
      <w:r w:rsidRPr="00A86354" w:rsidR="0006032C">
        <w:rPr>
          <w:rFonts w:cs="Arial"/>
          <w:lang w:val="fr-FR"/>
        </w:rPr>
        <w:t>’</w:t>
      </w:r>
      <w:r w:rsidRPr="00A86354" w:rsidR="00E57739">
        <w:rPr>
          <w:rFonts w:cs="Arial"/>
          <w:lang w:val="fr-FR"/>
        </w:rPr>
        <w:t>est inquiété de l</w:t>
      </w:r>
      <w:r w:rsidRPr="00A86354" w:rsidR="0006032C">
        <w:rPr>
          <w:rFonts w:cs="Arial"/>
          <w:lang w:val="fr-FR"/>
        </w:rPr>
        <w:t>’</w:t>
      </w:r>
      <w:r w:rsidRPr="00A86354" w:rsidR="00E57739">
        <w:rPr>
          <w:rFonts w:cs="Arial"/>
          <w:lang w:val="fr-FR"/>
        </w:rPr>
        <w:t>inadaptation des outils d</w:t>
      </w:r>
      <w:r w:rsidRPr="00A86354" w:rsidR="0006032C">
        <w:rPr>
          <w:rFonts w:cs="Arial"/>
          <w:lang w:val="fr-FR"/>
        </w:rPr>
        <w:t>’</w:t>
      </w:r>
      <w:r w:rsidRPr="00A86354" w:rsidR="00E57739">
        <w:rPr>
          <w:rFonts w:cs="Arial"/>
          <w:lang w:val="fr-FR"/>
        </w:rPr>
        <w:t>évaluation des besoins</w:t>
      </w:r>
      <w:r w:rsidRPr="00A86354" w:rsidR="00B774F9">
        <w:rPr>
          <w:rFonts w:cs="Arial"/>
          <w:lang w:val="fr-FR"/>
        </w:rPr>
        <w:t xml:space="preserve"> </w:t>
      </w:r>
      <w:r w:rsidRPr="00A86354" w:rsidR="00E57739">
        <w:rPr>
          <w:rFonts w:cs="Arial"/>
          <w:lang w:val="fr-FR"/>
        </w:rPr>
        <w:t>des personnes handicapées et des retards pris dans le traitement des dossiers</w:t>
      </w:r>
      <w:r w:rsidRPr="00A86354" w:rsidR="00B774F9">
        <w:rPr>
          <w:rFonts w:cs="Arial"/>
          <w:lang w:val="fr-FR"/>
        </w:rPr>
        <w:t xml:space="preserve">. </w:t>
      </w:r>
      <w:r w:rsidRPr="00A86354" w:rsidR="00E57739">
        <w:rPr>
          <w:rFonts w:cs="Arial"/>
          <w:lang w:val="fr-FR"/>
        </w:rPr>
        <w:t>Le Commissaire a notamment</w:t>
      </w:r>
      <w:r w:rsidRPr="00A86354" w:rsidR="000807D5">
        <w:rPr>
          <w:rFonts w:cs="Arial"/>
          <w:lang w:val="fr-FR"/>
        </w:rPr>
        <w:t> :</w:t>
      </w:r>
      <w:r w:rsidRPr="00A86354" w:rsidR="008E66E3">
        <w:rPr>
          <w:rFonts w:cs="Arial"/>
          <w:lang w:val="fr-FR"/>
        </w:rPr>
        <w:t xml:space="preserve"> </w:t>
      </w:r>
    </w:p>
    <w:p w:rsidRPr="00A86354" w:rsidR="00B774F9" w:rsidP="00261E9F" w:rsidRDefault="00B774F9" w14:paraId="71106900" w14:textId="77777777">
      <w:pPr>
        <w:rPr>
          <w:rFonts w:ascii="Arial" w:hAnsi="Arial" w:cs="Arial"/>
          <w:b/>
          <w:bCs/>
          <w:lang w:val="fr-FR"/>
        </w:rPr>
      </w:pPr>
    </w:p>
    <w:p w:rsidRPr="00A86354" w:rsidR="00411894" w:rsidP="00A86354" w:rsidRDefault="000807D5" w14:paraId="77152A6C" w14:textId="14BF8126">
      <w:pPr>
        <w:ind w:left="709"/>
        <w:rPr>
          <w:rFonts w:ascii="Arial" w:hAnsi="Arial" w:cs="Arial"/>
          <w:sz w:val="20"/>
          <w:szCs w:val="20"/>
          <w:lang w:val="fr-FR"/>
        </w:rPr>
      </w:pPr>
      <w:r w:rsidRPr="00A86354">
        <w:rPr>
          <w:rFonts w:ascii="Arial" w:hAnsi="Arial" w:cs="Arial"/>
          <w:sz w:val="20"/>
          <w:szCs w:val="20"/>
          <w:lang w:val="fr-FR"/>
        </w:rPr>
        <w:t>« </w:t>
      </w:r>
      <w:r w:rsidRPr="00A86354" w:rsidR="00411894">
        <w:rPr>
          <w:rFonts w:ascii="Arial" w:hAnsi="Arial" w:cs="Arial"/>
          <w:sz w:val="20"/>
          <w:szCs w:val="20"/>
          <w:lang w:val="fr-FR"/>
        </w:rPr>
        <w:t xml:space="preserve"> </w:t>
      </w:r>
      <w:r w:rsidRPr="00A86354" w:rsidR="002C5D46">
        <w:rPr>
          <w:rFonts w:ascii="Arial" w:hAnsi="Arial" w:cs="Arial"/>
          <w:sz w:val="20"/>
          <w:szCs w:val="20"/>
          <w:lang w:val="fr-FR"/>
        </w:rPr>
        <w:t>[...]</w:t>
      </w:r>
      <w:r w:rsidRPr="00A86354" w:rsidR="00411894">
        <w:rPr>
          <w:rFonts w:ascii="Arial" w:hAnsi="Arial" w:cs="Arial"/>
          <w:sz w:val="20"/>
          <w:szCs w:val="20"/>
          <w:lang w:val="fr-FR"/>
        </w:rPr>
        <w:t xml:space="preserve"> </w:t>
      </w:r>
      <w:r w:rsidRPr="00A86354" w:rsidR="00E57739">
        <w:rPr>
          <w:rFonts w:ascii="Arial" w:hAnsi="Arial" w:cs="Arial"/>
          <w:sz w:val="20"/>
          <w:szCs w:val="20"/>
          <w:lang w:val="fr-FR"/>
        </w:rPr>
        <w:t>exhort[é] les autorités à élaborer, avec la participation active des personnes handicapées, un plan global visant à remplacer les institutions par des services de proximité</w:t>
      </w:r>
      <w:r w:rsidRPr="00A86354">
        <w:rPr>
          <w:rFonts w:ascii="Arial" w:hAnsi="Arial" w:cs="Arial"/>
          <w:sz w:val="20"/>
          <w:szCs w:val="20"/>
          <w:lang w:val="fr-FR"/>
        </w:rPr>
        <w:t> ;</w:t>
      </w:r>
      <w:r w:rsidRPr="00A86354" w:rsidR="00E57739">
        <w:rPr>
          <w:rFonts w:ascii="Arial" w:hAnsi="Arial" w:cs="Arial"/>
          <w:sz w:val="20"/>
          <w:szCs w:val="20"/>
          <w:lang w:val="fr-FR"/>
        </w:rPr>
        <w:t xml:space="preserve"> </w:t>
      </w:r>
      <w:r w:rsidRPr="00A86354" w:rsidR="002C5D46">
        <w:rPr>
          <w:rFonts w:ascii="Arial" w:hAnsi="Arial" w:cs="Arial"/>
          <w:sz w:val="20"/>
          <w:szCs w:val="20"/>
          <w:lang w:val="fr-FR"/>
        </w:rPr>
        <w:t>[...]</w:t>
      </w:r>
      <w:r w:rsidRPr="00A86354" w:rsidR="00E57739">
        <w:rPr>
          <w:rFonts w:ascii="Arial" w:hAnsi="Arial" w:cs="Arial"/>
          <w:sz w:val="20"/>
          <w:szCs w:val="20"/>
          <w:lang w:val="fr-FR"/>
        </w:rPr>
        <w:t xml:space="preserve"> à démontrer leur engagement à réformer le système d</w:t>
      </w:r>
      <w:r w:rsidRPr="00A86354" w:rsidR="0006032C">
        <w:rPr>
          <w:rFonts w:ascii="Arial" w:hAnsi="Arial" w:cs="Arial"/>
          <w:sz w:val="20"/>
          <w:szCs w:val="20"/>
          <w:lang w:val="fr-FR"/>
        </w:rPr>
        <w:t>’</w:t>
      </w:r>
      <w:r w:rsidRPr="00A86354" w:rsidR="00E57739">
        <w:rPr>
          <w:rFonts w:ascii="Arial" w:hAnsi="Arial" w:cs="Arial"/>
          <w:sz w:val="20"/>
          <w:szCs w:val="20"/>
          <w:lang w:val="fr-FR"/>
        </w:rPr>
        <w:t>accompagnement médico-social des personnes handicapées en fermant les grandes structures globales et à redoubler d</w:t>
      </w:r>
      <w:r w:rsidRPr="00A86354" w:rsidR="0006032C">
        <w:rPr>
          <w:rFonts w:ascii="Arial" w:hAnsi="Arial" w:cs="Arial"/>
          <w:sz w:val="20"/>
          <w:szCs w:val="20"/>
          <w:lang w:val="fr-FR"/>
        </w:rPr>
        <w:t>’</w:t>
      </w:r>
      <w:r w:rsidRPr="00A86354" w:rsidR="00E57739">
        <w:rPr>
          <w:rFonts w:ascii="Arial" w:hAnsi="Arial" w:cs="Arial"/>
          <w:sz w:val="20"/>
          <w:szCs w:val="20"/>
          <w:lang w:val="fr-FR"/>
        </w:rPr>
        <w:t>efforts afin que la priorité à l</w:t>
      </w:r>
      <w:r w:rsidRPr="00A86354" w:rsidR="0006032C">
        <w:rPr>
          <w:rFonts w:ascii="Arial" w:hAnsi="Arial" w:cs="Arial"/>
          <w:sz w:val="20"/>
          <w:szCs w:val="20"/>
          <w:lang w:val="fr-FR"/>
        </w:rPr>
        <w:t>’</w:t>
      </w:r>
      <w:r w:rsidRPr="00A86354" w:rsidR="00E57739">
        <w:rPr>
          <w:rFonts w:ascii="Arial" w:hAnsi="Arial" w:cs="Arial"/>
          <w:sz w:val="20"/>
          <w:szCs w:val="20"/>
          <w:lang w:val="fr-FR"/>
        </w:rPr>
        <w:t>inclusion des personnes handicapées se traduise dans les faits par la recherche de solutions individualisées alternatives au placement en institution et reposant sur des services de proximité.</w:t>
      </w:r>
    </w:p>
    <w:p w:rsidRPr="00A86354" w:rsidR="008F2F0C" w:rsidP="00A86354" w:rsidRDefault="008F2F0C" w14:paraId="3B097E49" w14:textId="763E832B">
      <w:pPr>
        <w:ind w:left="709"/>
        <w:rPr>
          <w:rFonts w:ascii="Arial" w:hAnsi="Arial" w:cs="Arial"/>
          <w:sz w:val="20"/>
          <w:szCs w:val="20"/>
          <w:lang w:val="fr-FR"/>
        </w:rPr>
      </w:pPr>
    </w:p>
    <w:p w:rsidRPr="00A86354" w:rsidR="008F2F0C" w:rsidP="00A86354" w:rsidRDefault="002C5D46" w14:paraId="573B0D51" w14:textId="166940D3">
      <w:pPr>
        <w:ind w:left="709"/>
        <w:rPr>
          <w:rFonts w:ascii="Arial" w:hAnsi="Arial" w:cs="Arial"/>
          <w:sz w:val="20"/>
          <w:szCs w:val="20"/>
          <w:lang w:val="fr-FR"/>
        </w:rPr>
      </w:pPr>
      <w:r w:rsidRPr="00A86354">
        <w:rPr>
          <w:rFonts w:ascii="Arial" w:hAnsi="Arial" w:cs="Arial"/>
          <w:sz w:val="20"/>
          <w:szCs w:val="20"/>
          <w:lang w:val="fr-FR"/>
        </w:rPr>
        <w:t>[...]</w:t>
      </w:r>
      <w:r w:rsidRPr="00A86354" w:rsidR="00411894">
        <w:rPr>
          <w:rFonts w:ascii="Arial" w:hAnsi="Arial" w:cs="Arial"/>
          <w:sz w:val="20"/>
          <w:szCs w:val="20"/>
          <w:lang w:val="fr-FR"/>
        </w:rPr>
        <w:t xml:space="preserve"> </w:t>
      </w:r>
    </w:p>
    <w:p w:rsidRPr="00A86354" w:rsidR="00411894" w:rsidP="00A86354" w:rsidRDefault="00411894" w14:paraId="7DEF1328" w14:textId="77777777">
      <w:pPr>
        <w:ind w:left="709"/>
        <w:rPr>
          <w:rFonts w:ascii="Arial" w:hAnsi="Arial" w:cs="Arial"/>
          <w:sz w:val="20"/>
          <w:szCs w:val="20"/>
          <w:lang w:val="fr-FR"/>
        </w:rPr>
      </w:pPr>
    </w:p>
    <w:p w:rsidRPr="00A86354" w:rsidR="00411894" w:rsidP="00A86354" w:rsidRDefault="000807D5" w14:paraId="17DF7747" w14:textId="7EA4C3BF">
      <w:pPr>
        <w:ind w:left="709"/>
        <w:rPr>
          <w:rFonts w:ascii="Arial" w:hAnsi="Arial" w:cs="Arial"/>
          <w:sz w:val="20"/>
          <w:szCs w:val="20"/>
          <w:lang w:val="fr-FR"/>
        </w:rPr>
      </w:pPr>
      <w:r w:rsidRPr="00A86354">
        <w:rPr>
          <w:rFonts w:ascii="Arial" w:hAnsi="Arial" w:cs="Arial"/>
          <w:sz w:val="20"/>
          <w:szCs w:val="20"/>
          <w:lang w:val="fr-FR"/>
        </w:rPr>
        <w:t>« </w:t>
      </w:r>
      <w:r w:rsidRPr="00A86354" w:rsidR="002C5D46">
        <w:rPr>
          <w:rFonts w:ascii="Arial" w:hAnsi="Arial" w:cs="Arial"/>
          <w:sz w:val="20"/>
          <w:szCs w:val="20"/>
          <w:lang w:val="fr-FR"/>
        </w:rPr>
        <w:t>[...]</w:t>
      </w:r>
      <w:r w:rsidRPr="00A86354" w:rsidR="00411894">
        <w:rPr>
          <w:rFonts w:ascii="Arial" w:hAnsi="Arial" w:cs="Arial"/>
          <w:sz w:val="20"/>
          <w:szCs w:val="20"/>
          <w:lang w:val="fr-FR"/>
        </w:rPr>
        <w:t xml:space="preserve"> </w:t>
      </w:r>
      <w:r w:rsidRPr="00A86354" w:rsidR="00E57739">
        <w:rPr>
          <w:rFonts w:ascii="Arial" w:hAnsi="Arial" w:cs="Arial"/>
          <w:sz w:val="20"/>
          <w:szCs w:val="20"/>
          <w:lang w:val="fr-FR"/>
        </w:rPr>
        <w:t>appel[é] les autorités à veiller très attentivement à ce que les engagements souscrits en matière d</w:t>
      </w:r>
      <w:r w:rsidRPr="00A86354" w:rsidR="0006032C">
        <w:rPr>
          <w:rFonts w:ascii="Arial" w:hAnsi="Arial" w:cs="Arial"/>
          <w:sz w:val="20"/>
          <w:szCs w:val="20"/>
          <w:lang w:val="fr-FR"/>
        </w:rPr>
        <w:t>’</w:t>
      </w:r>
      <w:r w:rsidRPr="00A86354" w:rsidR="00E57739">
        <w:rPr>
          <w:rFonts w:ascii="Arial" w:hAnsi="Arial" w:cs="Arial"/>
          <w:sz w:val="20"/>
          <w:szCs w:val="20"/>
          <w:lang w:val="fr-FR"/>
        </w:rPr>
        <w:t>accessibilité soient effectivement mis en œuvre et à ne tolérer aucun nouveau report des aménagements nécessaires afin de lutter contre l</w:t>
      </w:r>
      <w:r w:rsidRPr="00A86354" w:rsidR="0006032C">
        <w:rPr>
          <w:rFonts w:ascii="Arial" w:hAnsi="Arial" w:cs="Arial"/>
          <w:sz w:val="20"/>
          <w:szCs w:val="20"/>
          <w:lang w:val="fr-FR"/>
        </w:rPr>
        <w:t>’</w:t>
      </w:r>
      <w:r w:rsidRPr="00A86354" w:rsidR="00E57739">
        <w:rPr>
          <w:rFonts w:ascii="Arial" w:hAnsi="Arial" w:cs="Arial"/>
          <w:sz w:val="20"/>
          <w:szCs w:val="20"/>
          <w:lang w:val="fr-FR"/>
        </w:rPr>
        <w:t>isolement des personnes handicapées et de leur permettre de jouir de leur droit à l</w:t>
      </w:r>
      <w:r w:rsidRPr="00A86354" w:rsidR="0006032C">
        <w:rPr>
          <w:rFonts w:ascii="Arial" w:hAnsi="Arial" w:cs="Arial"/>
          <w:sz w:val="20"/>
          <w:szCs w:val="20"/>
          <w:lang w:val="fr-FR"/>
        </w:rPr>
        <w:t>’</w:t>
      </w:r>
      <w:r w:rsidRPr="00A86354" w:rsidR="00E57739">
        <w:rPr>
          <w:rFonts w:ascii="Arial" w:hAnsi="Arial" w:cs="Arial"/>
          <w:sz w:val="20"/>
          <w:szCs w:val="20"/>
          <w:lang w:val="fr-FR"/>
        </w:rPr>
        <w:t>autonomie et à l</w:t>
      </w:r>
      <w:r w:rsidRPr="00A86354" w:rsidR="0006032C">
        <w:rPr>
          <w:rFonts w:ascii="Arial" w:hAnsi="Arial" w:cs="Arial"/>
          <w:sz w:val="20"/>
          <w:szCs w:val="20"/>
          <w:lang w:val="fr-FR"/>
        </w:rPr>
        <w:t>’</w:t>
      </w:r>
      <w:r w:rsidRPr="00A86354" w:rsidR="00E57739">
        <w:rPr>
          <w:rFonts w:ascii="Arial" w:hAnsi="Arial" w:cs="Arial"/>
          <w:sz w:val="20"/>
          <w:szCs w:val="20"/>
          <w:lang w:val="fr-FR"/>
        </w:rPr>
        <w:t>inclusion dans la société, conformément aux exigences de l</w:t>
      </w:r>
      <w:r w:rsidRPr="00A86354" w:rsidR="0006032C">
        <w:rPr>
          <w:rFonts w:ascii="Arial" w:hAnsi="Arial" w:cs="Arial"/>
          <w:sz w:val="20"/>
          <w:szCs w:val="20"/>
          <w:lang w:val="fr-FR"/>
        </w:rPr>
        <w:t>’</w:t>
      </w:r>
      <w:r w:rsidRPr="00A86354" w:rsidR="00E57739">
        <w:rPr>
          <w:rFonts w:ascii="Arial" w:hAnsi="Arial" w:cs="Arial"/>
          <w:sz w:val="20"/>
          <w:szCs w:val="20"/>
          <w:lang w:val="fr-FR"/>
        </w:rPr>
        <w:t>article 9 de</w:t>
      </w:r>
      <w:r w:rsidRPr="00A86354" w:rsidR="00332C99">
        <w:rPr>
          <w:rFonts w:ascii="Arial" w:hAnsi="Arial" w:cs="Arial"/>
          <w:sz w:val="20"/>
          <w:szCs w:val="20"/>
          <w:lang w:val="fr-FR"/>
        </w:rPr>
        <w:t xml:space="preserve"> la</w:t>
      </w:r>
      <w:r w:rsidRPr="00A86354" w:rsidR="00E57739">
        <w:rPr>
          <w:rFonts w:ascii="Arial" w:hAnsi="Arial" w:cs="Arial"/>
          <w:sz w:val="20"/>
          <w:szCs w:val="20"/>
          <w:lang w:val="fr-FR"/>
        </w:rPr>
        <w:t xml:space="preserve"> Convention des Nations Unies relative aux droits des personnes handicapées.</w:t>
      </w:r>
      <w:r w:rsidRPr="00A86354">
        <w:rPr>
          <w:rFonts w:ascii="Arial" w:hAnsi="Arial" w:cs="Arial"/>
          <w:sz w:val="20"/>
          <w:szCs w:val="20"/>
          <w:lang w:val="fr-FR"/>
        </w:rPr>
        <w:t> »</w:t>
      </w:r>
    </w:p>
    <w:p w:rsidRPr="00A86354" w:rsidR="008F2F0C" w:rsidP="00261E9F" w:rsidRDefault="008F2F0C" w14:paraId="69F9D73B" w14:textId="77777777">
      <w:pPr>
        <w:rPr>
          <w:rFonts w:ascii="Arial" w:hAnsi="Arial" w:cs="Arial"/>
          <w:b/>
          <w:bCs/>
          <w:lang w:val="fr-FR"/>
        </w:rPr>
      </w:pPr>
    </w:p>
    <w:p w:rsidRPr="00A86354" w:rsidR="009B49C3" w:rsidP="00A86354" w:rsidRDefault="009B49C3" w14:paraId="3A984FEA" w14:textId="28BF840C">
      <w:pPr>
        <w:tabs>
          <w:tab w:val="left" w:pos="709"/>
        </w:tabs>
        <w:ind w:left="360" w:hanging="360"/>
        <w:rPr>
          <w:rFonts w:ascii="Arial" w:hAnsi="Arial" w:cs="Arial"/>
          <w:b/>
          <w:bCs/>
          <w:lang w:val="fr-FR"/>
        </w:rPr>
      </w:pPr>
      <w:r w:rsidRPr="00A86354">
        <w:rPr>
          <w:rFonts w:ascii="Arial" w:hAnsi="Arial" w:cs="Arial"/>
          <w:b/>
          <w:bCs/>
          <w:lang w:val="fr-FR"/>
        </w:rPr>
        <w:t xml:space="preserve">2.   </w:t>
      </w:r>
      <w:r w:rsidRPr="00A86354" w:rsidR="00F77963">
        <w:rPr>
          <w:rFonts w:ascii="Arial" w:hAnsi="Arial" w:cs="Arial"/>
          <w:b/>
          <w:bCs/>
          <w:lang w:val="fr-FR"/>
        </w:rPr>
        <w:tab/>
      </w:r>
      <w:r w:rsidRPr="00A86354">
        <w:rPr>
          <w:rFonts w:ascii="Arial" w:hAnsi="Arial" w:cs="Arial"/>
          <w:b/>
          <w:bCs/>
          <w:lang w:val="fr-FR"/>
        </w:rPr>
        <w:t>Nations</w:t>
      </w:r>
      <w:r w:rsidRPr="00A86354" w:rsidR="000B15BD">
        <w:rPr>
          <w:rFonts w:ascii="Arial" w:hAnsi="Arial" w:cs="Arial"/>
          <w:b/>
          <w:bCs/>
          <w:lang w:val="fr-FR"/>
        </w:rPr>
        <w:t xml:space="preserve"> Unies</w:t>
      </w:r>
    </w:p>
    <w:p w:rsidRPr="00A86354" w:rsidR="009B49C3" w:rsidP="00317329" w:rsidRDefault="009B49C3" w14:paraId="7D03C1F5" w14:textId="77777777">
      <w:pPr>
        <w:rPr>
          <w:rFonts w:ascii="Arial" w:hAnsi="Arial" w:cs="Arial"/>
          <w:b/>
          <w:bCs/>
          <w:lang w:val="fr-FR"/>
        </w:rPr>
      </w:pPr>
    </w:p>
    <w:p w:rsidRPr="00A86354" w:rsidR="00167F92" w:rsidP="00317329" w:rsidRDefault="00167F92" w14:paraId="62333D7D" w14:textId="7E309992">
      <w:pPr>
        <w:rPr>
          <w:rFonts w:ascii="Arial" w:hAnsi="Arial" w:cs="Arial"/>
          <w:b/>
          <w:bCs/>
          <w:lang w:val="fr-FR"/>
        </w:rPr>
      </w:pPr>
      <w:r w:rsidRPr="00A86354">
        <w:rPr>
          <w:rFonts w:ascii="Arial" w:hAnsi="Arial" w:cs="Arial"/>
          <w:b/>
          <w:bCs/>
          <w:lang w:val="fr-FR"/>
        </w:rPr>
        <w:t xml:space="preserve">Convention </w:t>
      </w:r>
      <w:r w:rsidRPr="00A86354" w:rsidR="006E5098">
        <w:rPr>
          <w:rFonts w:ascii="Arial" w:hAnsi="Arial" w:cs="Arial"/>
          <w:b/>
          <w:bCs/>
          <w:lang w:val="fr-FR"/>
        </w:rPr>
        <w:t>des Nations Unies relative aux droits des personnes handicapées (CIDPH</w:t>
      </w:r>
      <w:r w:rsidRPr="00A86354" w:rsidR="00317329">
        <w:rPr>
          <w:rFonts w:ascii="Arial" w:hAnsi="Arial" w:cs="Arial"/>
          <w:b/>
          <w:bCs/>
          <w:lang w:val="fr-FR"/>
        </w:rPr>
        <w:t>)</w:t>
      </w:r>
    </w:p>
    <w:p w:rsidRPr="00A86354" w:rsidR="00167F92" w:rsidP="00167F92" w:rsidRDefault="00167F92" w14:paraId="1AB4639A" w14:textId="3326A045">
      <w:pPr>
        <w:rPr>
          <w:rFonts w:ascii="Arial" w:hAnsi="Arial" w:cs="Arial"/>
          <w:lang w:val="fr-FR"/>
        </w:rPr>
      </w:pPr>
    </w:p>
    <w:p w:rsidRPr="00A86354" w:rsidR="00E96A8C" w:rsidP="00CE016A" w:rsidRDefault="006E5098" w14:paraId="6BDF3A20" w14:textId="79AE8873">
      <w:pPr>
        <w:pStyle w:val="ListParagraph"/>
        <w:numPr>
          <w:ilvl w:val="0"/>
          <w:numId w:val="1"/>
        </w:numPr>
        <w:ind w:left="0" w:firstLine="0"/>
        <w:rPr>
          <w:rFonts w:cs="Arial"/>
          <w:lang w:val="fr-FR"/>
        </w:rPr>
      </w:pPr>
      <w:r w:rsidRPr="00A86354">
        <w:rPr>
          <w:rFonts w:cs="Arial"/>
          <w:lang w:val="fr-FR"/>
        </w:rPr>
        <w:t>La Convention des Nations Unies relative aux droits des personnes handicapées</w:t>
      </w:r>
      <w:r w:rsidRPr="00A86354">
        <w:rPr>
          <w:rFonts w:cs="Arial"/>
          <w:b/>
          <w:bCs/>
          <w:lang w:val="fr-FR"/>
        </w:rPr>
        <w:t xml:space="preserve"> </w:t>
      </w:r>
      <w:r w:rsidRPr="00A86354">
        <w:rPr>
          <w:rFonts w:cs="Arial"/>
          <w:lang w:val="fr-FR"/>
        </w:rPr>
        <w:t>du</w:t>
      </w:r>
      <w:r w:rsidRPr="00A86354" w:rsidR="009B49C3">
        <w:rPr>
          <w:rFonts w:cs="Arial"/>
          <w:lang w:val="fr-FR"/>
        </w:rPr>
        <w:t xml:space="preserve"> 13 </w:t>
      </w:r>
      <w:r w:rsidRPr="00A86354">
        <w:rPr>
          <w:rFonts w:cs="Arial"/>
          <w:lang w:val="fr-FR"/>
        </w:rPr>
        <w:t>décembre</w:t>
      </w:r>
      <w:r w:rsidRPr="00A86354" w:rsidR="009B49C3">
        <w:rPr>
          <w:rFonts w:cs="Arial"/>
          <w:lang w:val="fr-FR"/>
        </w:rPr>
        <w:t xml:space="preserve"> 2006 </w:t>
      </w:r>
      <w:r w:rsidRPr="00A86354">
        <w:rPr>
          <w:rFonts w:cs="Arial"/>
          <w:lang w:val="fr-FR"/>
        </w:rPr>
        <w:t>a été</w:t>
      </w:r>
      <w:r w:rsidRPr="00A86354" w:rsidR="00E96A8C">
        <w:rPr>
          <w:rFonts w:cs="Arial"/>
          <w:lang w:val="fr-FR"/>
        </w:rPr>
        <w:t xml:space="preserve"> ratifi</w:t>
      </w:r>
      <w:r w:rsidRPr="00A86354">
        <w:rPr>
          <w:rFonts w:cs="Arial"/>
          <w:lang w:val="fr-FR"/>
        </w:rPr>
        <w:t>é</w:t>
      </w:r>
      <w:r w:rsidRPr="00A86354" w:rsidR="00E96A8C">
        <w:rPr>
          <w:rFonts w:cs="Arial"/>
          <w:lang w:val="fr-FR"/>
        </w:rPr>
        <w:t>e</w:t>
      </w:r>
      <w:r w:rsidRPr="00A86354">
        <w:rPr>
          <w:rFonts w:cs="Arial"/>
          <w:lang w:val="fr-FR"/>
        </w:rPr>
        <w:t xml:space="preserve"> par la</w:t>
      </w:r>
      <w:r w:rsidRPr="00A86354" w:rsidR="00E96A8C">
        <w:rPr>
          <w:rFonts w:cs="Arial"/>
          <w:lang w:val="fr-FR"/>
        </w:rPr>
        <w:t xml:space="preserve"> France </w:t>
      </w:r>
      <w:r w:rsidRPr="00A86354">
        <w:rPr>
          <w:rFonts w:cs="Arial"/>
          <w:lang w:val="fr-FR"/>
        </w:rPr>
        <w:t>le</w:t>
      </w:r>
      <w:r w:rsidRPr="00A86354" w:rsidR="00E96A8C">
        <w:rPr>
          <w:rFonts w:cs="Arial"/>
          <w:lang w:val="fr-FR"/>
        </w:rPr>
        <w:t xml:space="preserve"> 18 </w:t>
      </w:r>
      <w:r w:rsidRPr="00A86354">
        <w:rPr>
          <w:rFonts w:cs="Arial"/>
          <w:lang w:val="fr-FR"/>
        </w:rPr>
        <w:t>février</w:t>
      </w:r>
      <w:r w:rsidRPr="00A86354" w:rsidR="00E96A8C">
        <w:rPr>
          <w:rFonts w:cs="Arial"/>
          <w:lang w:val="fr-FR"/>
        </w:rPr>
        <w:t xml:space="preserve"> 2010. </w:t>
      </w:r>
    </w:p>
    <w:p w:rsidRPr="00A86354" w:rsidR="00E96A8C" w:rsidP="00167F92" w:rsidRDefault="00E96A8C" w14:paraId="7589664D" w14:textId="77777777">
      <w:pPr>
        <w:rPr>
          <w:rFonts w:ascii="Arial" w:hAnsi="Arial" w:cs="Arial"/>
          <w:lang w:val="fr-FR"/>
        </w:rPr>
      </w:pPr>
    </w:p>
    <w:p w:rsidRPr="00A86354" w:rsidR="00167F92" w:rsidP="00A86354" w:rsidRDefault="000807D5" w14:paraId="0CBC7094" w14:textId="44010B39">
      <w:pPr>
        <w:tabs>
          <w:tab w:val="left" w:pos="1134"/>
        </w:tabs>
        <w:ind w:left="709"/>
        <w:rPr>
          <w:rFonts w:ascii="Arial" w:hAnsi="Arial" w:cs="Arial"/>
          <w:sz w:val="20"/>
          <w:szCs w:val="20"/>
          <w:lang w:val="fr-FR"/>
        </w:rPr>
      </w:pPr>
      <w:r w:rsidRPr="00A86354">
        <w:rPr>
          <w:rFonts w:ascii="Arial" w:hAnsi="Arial" w:cs="Arial"/>
          <w:sz w:val="20"/>
          <w:szCs w:val="20"/>
          <w:lang w:val="fr-FR"/>
        </w:rPr>
        <w:t>« </w:t>
      </w:r>
      <w:r w:rsidRPr="00A86354" w:rsidR="00167F92">
        <w:rPr>
          <w:rFonts w:ascii="Arial" w:hAnsi="Arial" w:cs="Arial"/>
          <w:sz w:val="20"/>
          <w:szCs w:val="20"/>
          <w:lang w:val="fr-FR"/>
        </w:rPr>
        <w:t xml:space="preserve">Article 9 – </w:t>
      </w:r>
      <w:r w:rsidRPr="00A86354" w:rsidR="006E5098">
        <w:rPr>
          <w:rFonts w:ascii="Arial" w:hAnsi="Arial" w:cs="Arial"/>
          <w:sz w:val="20"/>
          <w:szCs w:val="20"/>
          <w:lang w:val="fr-FR"/>
        </w:rPr>
        <w:t>Accessibilité</w:t>
      </w:r>
    </w:p>
    <w:p w:rsidRPr="00A86354" w:rsidR="00167F92" w:rsidP="00A86354" w:rsidRDefault="00167F92" w14:paraId="2441FF7E" w14:textId="77777777">
      <w:pPr>
        <w:tabs>
          <w:tab w:val="left" w:pos="1134"/>
        </w:tabs>
        <w:ind w:left="709"/>
        <w:rPr>
          <w:rFonts w:ascii="Arial" w:hAnsi="Arial" w:cs="Arial"/>
          <w:sz w:val="20"/>
          <w:szCs w:val="20"/>
          <w:lang w:val="fr-FR"/>
        </w:rPr>
      </w:pPr>
    </w:p>
    <w:p w:rsidRPr="00A86354" w:rsidR="00167F92" w:rsidP="00CE016A" w:rsidRDefault="00714C0F" w14:paraId="3437A88C" w14:textId="387C0B6D">
      <w:pPr>
        <w:pStyle w:val="ListParagraph"/>
        <w:numPr>
          <w:ilvl w:val="0"/>
          <w:numId w:val="4"/>
        </w:numPr>
        <w:tabs>
          <w:tab w:val="left" w:pos="1134"/>
        </w:tabs>
        <w:ind w:left="709" w:firstLine="0"/>
        <w:rPr>
          <w:rFonts w:cs="Arial"/>
          <w:sz w:val="20"/>
          <w:szCs w:val="20"/>
          <w:lang w:val="fr-FR"/>
        </w:rPr>
      </w:pPr>
      <w:bookmarkStart w:name="text" w:id="7"/>
      <w:bookmarkEnd w:id="7"/>
      <w:r w:rsidRPr="00A86354">
        <w:rPr>
          <w:rFonts w:cs="Arial"/>
          <w:sz w:val="20"/>
          <w:szCs w:val="20"/>
          <w:lang w:val="fr-FR"/>
        </w:rPr>
        <w:t>Afin de permettre aux personnes handicapées de vivre de façon indépendante et de participer pleinement à tous les aspects de la vie, les États Parties prennent des mesures appropriées pour leur assurer, sur la base de l</w:t>
      </w:r>
      <w:r w:rsidRPr="00A86354" w:rsidR="0006032C">
        <w:rPr>
          <w:rFonts w:cs="Arial"/>
          <w:sz w:val="20"/>
          <w:szCs w:val="20"/>
          <w:lang w:val="fr-FR"/>
        </w:rPr>
        <w:t>’</w:t>
      </w:r>
      <w:r w:rsidRPr="00A86354">
        <w:rPr>
          <w:rFonts w:cs="Arial"/>
          <w:sz w:val="20"/>
          <w:szCs w:val="20"/>
          <w:lang w:val="fr-FR"/>
        </w:rPr>
        <w:t>égalité avec les autres, l</w:t>
      </w:r>
      <w:r w:rsidRPr="00A86354" w:rsidR="0006032C">
        <w:rPr>
          <w:rFonts w:cs="Arial"/>
          <w:sz w:val="20"/>
          <w:szCs w:val="20"/>
          <w:lang w:val="fr-FR"/>
        </w:rPr>
        <w:t>’</w:t>
      </w:r>
      <w:r w:rsidRPr="00A86354">
        <w:rPr>
          <w:rFonts w:cs="Arial"/>
          <w:sz w:val="20"/>
          <w:szCs w:val="20"/>
          <w:lang w:val="fr-FR"/>
        </w:rPr>
        <w:t>accès à l</w:t>
      </w:r>
      <w:r w:rsidRPr="00A86354" w:rsidR="0006032C">
        <w:rPr>
          <w:rFonts w:cs="Arial"/>
          <w:sz w:val="20"/>
          <w:szCs w:val="20"/>
          <w:lang w:val="fr-FR"/>
        </w:rPr>
        <w:t>’</w:t>
      </w:r>
      <w:r w:rsidRPr="00A86354">
        <w:rPr>
          <w:rFonts w:cs="Arial"/>
          <w:sz w:val="20"/>
          <w:szCs w:val="20"/>
          <w:lang w:val="fr-FR"/>
        </w:rPr>
        <w:t>environnement physique, aux transports, à l</w:t>
      </w:r>
      <w:r w:rsidRPr="00A86354" w:rsidR="0006032C">
        <w:rPr>
          <w:rFonts w:cs="Arial"/>
          <w:sz w:val="20"/>
          <w:szCs w:val="20"/>
          <w:lang w:val="fr-FR"/>
        </w:rPr>
        <w:t>’</w:t>
      </w:r>
      <w:r w:rsidRPr="00A86354">
        <w:rPr>
          <w:rFonts w:cs="Arial"/>
          <w:sz w:val="20"/>
          <w:szCs w:val="20"/>
          <w:lang w:val="fr-FR"/>
        </w:rPr>
        <w:t>information et à la communication, y compris aux systèmes et technologies de l</w:t>
      </w:r>
      <w:r w:rsidRPr="00A86354" w:rsidR="0006032C">
        <w:rPr>
          <w:rFonts w:cs="Arial"/>
          <w:sz w:val="20"/>
          <w:szCs w:val="20"/>
          <w:lang w:val="fr-FR"/>
        </w:rPr>
        <w:t>’</w:t>
      </w:r>
      <w:r w:rsidRPr="00A86354">
        <w:rPr>
          <w:rFonts w:cs="Arial"/>
          <w:sz w:val="20"/>
          <w:szCs w:val="20"/>
          <w:lang w:val="fr-FR"/>
        </w:rPr>
        <w:t>information et de la communication, et aux autres équipements et services ouverts ou fournis au public, tant dans les zones urbaines que rurales. Ces mesures, parmi lesquelles figurent l</w:t>
      </w:r>
      <w:r w:rsidRPr="00A86354" w:rsidR="0006032C">
        <w:rPr>
          <w:rFonts w:cs="Arial"/>
          <w:sz w:val="20"/>
          <w:szCs w:val="20"/>
          <w:lang w:val="fr-FR"/>
        </w:rPr>
        <w:t>’</w:t>
      </w:r>
      <w:r w:rsidRPr="00A86354">
        <w:rPr>
          <w:rFonts w:cs="Arial"/>
          <w:sz w:val="20"/>
          <w:szCs w:val="20"/>
          <w:lang w:val="fr-FR"/>
        </w:rPr>
        <w:t>identification et l</w:t>
      </w:r>
      <w:r w:rsidRPr="00A86354" w:rsidR="0006032C">
        <w:rPr>
          <w:rFonts w:cs="Arial"/>
          <w:sz w:val="20"/>
          <w:szCs w:val="20"/>
          <w:lang w:val="fr-FR"/>
        </w:rPr>
        <w:t>’</w:t>
      </w:r>
      <w:r w:rsidRPr="00A86354">
        <w:rPr>
          <w:rFonts w:cs="Arial"/>
          <w:sz w:val="20"/>
          <w:szCs w:val="20"/>
          <w:lang w:val="fr-FR"/>
        </w:rPr>
        <w:t>élimination des obstacles et barrières à l</w:t>
      </w:r>
      <w:r w:rsidRPr="00A86354" w:rsidR="0006032C">
        <w:rPr>
          <w:rFonts w:cs="Arial"/>
          <w:sz w:val="20"/>
          <w:szCs w:val="20"/>
          <w:lang w:val="fr-FR"/>
        </w:rPr>
        <w:t>’</w:t>
      </w:r>
      <w:r w:rsidRPr="00A86354">
        <w:rPr>
          <w:rFonts w:cs="Arial"/>
          <w:sz w:val="20"/>
          <w:szCs w:val="20"/>
          <w:lang w:val="fr-FR"/>
        </w:rPr>
        <w:t>accessibilité, s</w:t>
      </w:r>
      <w:r w:rsidRPr="00A86354" w:rsidR="0006032C">
        <w:rPr>
          <w:rFonts w:cs="Arial"/>
          <w:sz w:val="20"/>
          <w:szCs w:val="20"/>
          <w:lang w:val="fr-FR"/>
        </w:rPr>
        <w:t>’</w:t>
      </w:r>
      <w:r w:rsidRPr="00A86354">
        <w:rPr>
          <w:rFonts w:cs="Arial"/>
          <w:sz w:val="20"/>
          <w:szCs w:val="20"/>
          <w:lang w:val="fr-FR"/>
        </w:rPr>
        <w:t>appliquent, entre autres</w:t>
      </w:r>
      <w:r w:rsidRPr="00A86354" w:rsidR="000807D5">
        <w:rPr>
          <w:rFonts w:cs="Arial"/>
          <w:sz w:val="20"/>
          <w:szCs w:val="20"/>
          <w:lang w:val="fr-FR"/>
        </w:rPr>
        <w:t> :</w:t>
      </w:r>
    </w:p>
    <w:p w:rsidRPr="00A86354" w:rsidR="00167F92" w:rsidP="00A86354" w:rsidRDefault="00167F92" w14:paraId="3E1E7784" w14:textId="77777777">
      <w:pPr>
        <w:pStyle w:val="ListParagraph"/>
        <w:tabs>
          <w:tab w:val="left" w:pos="1134"/>
        </w:tabs>
        <w:ind w:left="709"/>
        <w:rPr>
          <w:rFonts w:cs="Arial"/>
          <w:sz w:val="20"/>
          <w:szCs w:val="20"/>
          <w:lang w:val="fr-FR"/>
        </w:rPr>
      </w:pPr>
    </w:p>
    <w:p w:rsidRPr="00A86354" w:rsidR="00167F92" w:rsidP="00CE016A" w:rsidRDefault="00714C0F" w14:paraId="5649D7F8" w14:textId="2C87DC5D">
      <w:pPr>
        <w:pStyle w:val="ListParagraph"/>
        <w:numPr>
          <w:ilvl w:val="0"/>
          <w:numId w:val="5"/>
        </w:numPr>
        <w:tabs>
          <w:tab w:val="left" w:pos="1134"/>
        </w:tabs>
        <w:ind w:left="709" w:firstLine="0"/>
        <w:rPr>
          <w:rFonts w:cs="Arial"/>
          <w:sz w:val="20"/>
          <w:szCs w:val="20"/>
          <w:lang w:val="fr-FR"/>
        </w:rPr>
      </w:pPr>
      <w:r w:rsidRPr="00A86354">
        <w:rPr>
          <w:rFonts w:cs="Arial"/>
          <w:sz w:val="20"/>
          <w:szCs w:val="20"/>
          <w:lang w:val="fr-FR"/>
        </w:rPr>
        <w:t>Aux bâtiments, à la voirie, aux transports et autres équipements intérieurs ou extérieurs, y compris les écoles, les logements, les installations médicales et les lieux de travail</w:t>
      </w:r>
      <w:r w:rsidRPr="00A86354" w:rsidR="000807D5">
        <w:rPr>
          <w:rFonts w:cs="Arial"/>
          <w:sz w:val="20"/>
          <w:szCs w:val="20"/>
          <w:lang w:val="fr-FR"/>
        </w:rPr>
        <w:t> ;</w:t>
      </w:r>
    </w:p>
    <w:p w:rsidRPr="00A86354" w:rsidR="00167F92" w:rsidP="00A86354" w:rsidRDefault="00167F92" w14:paraId="6CD99871" w14:textId="77777777">
      <w:pPr>
        <w:pStyle w:val="ListParagraph"/>
        <w:tabs>
          <w:tab w:val="left" w:pos="1134"/>
        </w:tabs>
        <w:ind w:left="709"/>
        <w:rPr>
          <w:rFonts w:cs="Arial"/>
          <w:sz w:val="20"/>
          <w:szCs w:val="20"/>
          <w:lang w:val="fr-FR"/>
        </w:rPr>
      </w:pPr>
    </w:p>
    <w:p w:rsidRPr="00A86354" w:rsidR="00167F92" w:rsidP="00A86354" w:rsidRDefault="00167F92" w14:paraId="69EF1CDF" w14:textId="3BCBD487">
      <w:pPr>
        <w:tabs>
          <w:tab w:val="left" w:pos="1134"/>
        </w:tabs>
        <w:ind w:left="709"/>
        <w:rPr>
          <w:rFonts w:ascii="Arial" w:hAnsi="Arial" w:cs="Arial"/>
          <w:sz w:val="20"/>
          <w:szCs w:val="20"/>
          <w:lang w:val="fr-FR"/>
        </w:rPr>
      </w:pPr>
      <w:r w:rsidRPr="00A86354">
        <w:rPr>
          <w:rFonts w:ascii="Arial" w:hAnsi="Arial" w:cs="Arial"/>
          <w:sz w:val="20"/>
          <w:szCs w:val="20"/>
          <w:lang w:val="fr-FR"/>
        </w:rPr>
        <w:t xml:space="preserve">b) </w:t>
      </w:r>
      <w:r w:rsidRPr="00A86354" w:rsidR="00714C0F">
        <w:rPr>
          <w:rFonts w:ascii="Arial" w:hAnsi="Arial" w:cs="Arial"/>
          <w:sz w:val="20"/>
          <w:szCs w:val="20"/>
          <w:lang w:val="fr-FR"/>
        </w:rPr>
        <w:t>Aux services d</w:t>
      </w:r>
      <w:r w:rsidRPr="00A86354" w:rsidR="0006032C">
        <w:rPr>
          <w:rFonts w:ascii="Arial" w:hAnsi="Arial" w:cs="Arial"/>
          <w:sz w:val="20"/>
          <w:szCs w:val="20"/>
          <w:lang w:val="fr-FR"/>
        </w:rPr>
        <w:t>’</w:t>
      </w:r>
      <w:r w:rsidRPr="00A86354" w:rsidR="00714C0F">
        <w:rPr>
          <w:rFonts w:ascii="Arial" w:hAnsi="Arial" w:cs="Arial"/>
          <w:sz w:val="20"/>
          <w:szCs w:val="20"/>
          <w:lang w:val="fr-FR"/>
        </w:rPr>
        <w:t>information, de communication et autres services, y compris les services électroniques et les services d</w:t>
      </w:r>
      <w:r w:rsidRPr="00A86354" w:rsidR="0006032C">
        <w:rPr>
          <w:rFonts w:ascii="Arial" w:hAnsi="Arial" w:cs="Arial"/>
          <w:sz w:val="20"/>
          <w:szCs w:val="20"/>
          <w:lang w:val="fr-FR"/>
        </w:rPr>
        <w:t>’</w:t>
      </w:r>
      <w:r w:rsidRPr="00A86354" w:rsidR="00714C0F">
        <w:rPr>
          <w:rFonts w:ascii="Arial" w:hAnsi="Arial" w:cs="Arial"/>
          <w:sz w:val="20"/>
          <w:szCs w:val="20"/>
          <w:lang w:val="fr-FR"/>
        </w:rPr>
        <w:t>urgence.</w:t>
      </w:r>
    </w:p>
    <w:p w:rsidRPr="00A86354" w:rsidR="00167F92" w:rsidP="00A86354" w:rsidRDefault="00167F92" w14:paraId="53D19C20" w14:textId="77777777">
      <w:pPr>
        <w:tabs>
          <w:tab w:val="left" w:pos="1134"/>
        </w:tabs>
        <w:ind w:left="709"/>
        <w:rPr>
          <w:rFonts w:ascii="Arial" w:hAnsi="Arial" w:cs="Arial"/>
          <w:sz w:val="20"/>
          <w:szCs w:val="20"/>
          <w:lang w:val="fr-FR"/>
        </w:rPr>
      </w:pPr>
    </w:p>
    <w:p w:rsidRPr="00A86354" w:rsidR="00167F92" w:rsidP="00CE016A" w:rsidRDefault="006A7D5B" w14:paraId="15337C05" w14:textId="6972302C">
      <w:pPr>
        <w:pStyle w:val="ListParagraph"/>
        <w:numPr>
          <w:ilvl w:val="0"/>
          <w:numId w:val="4"/>
        </w:numPr>
        <w:tabs>
          <w:tab w:val="left" w:pos="1134"/>
        </w:tabs>
        <w:ind w:left="709" w:firstLine="0"/>
        <w:rPr>
          <w:rFonts w:cs="Arial"/>
          <w:sz w:val="20"/>
          <w:szCs w:val="20"/>
          <w:lang w:val="fr-FR"/>
        </w:rPr>
      </w:pPr>
      <w:r w:rsidRPr="00A86354">
        <w:rPr>
          <w:rFonts w:cs="Arial"/>
          <w:sz w:val="20"/>
          <w:szCs w:val="20"/>
          <w:lang w:val="fr-FR"/>
        </w:rPr>
        <w:t>Les États Parties prennent également des mesures appropriées pour</w:t>
      </w:r>
      <w:r w:rsidRPr="00A86354" w:rsidR="000807D5">
        <w:rPr>
          <w:rFonts w:cs="Arial"/>
          <w:sz w:val="20"/>
          <w:szCs w:val="20"/>
          <w:lang w:val="fr-FR"/>
        </w:rPr>
        <w:t> :</w:t>
      </w:r>
    </w:p>
    <w:p w:rsidRPr="00A86354" w:rsidR="00167F92" w:rsidP="00A86354" w:rsidRDefault="00167F92" w14:paraId="0557564A" w14:textId="77777777">
      <w:pPr>
        <w:pStyle w:val="ListParagraph"/>
        <w:tabs>
          <w:tab w:val="left" w:pos="1134"/>
        </w:tabs>
        <w:ind w:left="709"/>
        <w:rPr>
          <w:rFonts w:cs="Arial"/>
          <w:sz w:val="20"/>
          <w:szCs w:val="20"/>
          <w:lang w:val="fr-FR"/>
        </w:rPr>
      </w:pPr>
    </w:p>
    <w:p w:rsidRPr="00A86354" w:rsidR="00167F92" w:rsidP="00CE016A" w:rsidRDefault="006A7D5B" w14:paraId="73297998" w14:textId="50C5C6BC">
      <w:pPr>
        <w:pStyle w:val="ListParagraph"/>
        <w:numPr>
          <w:ilvl w:val="0"/>
          <w:numId w:val="6"/>
        </w:numPr>
        <w:tabs>
          <w:tab w:val="left" w:pos="1134"/>
        </w:tabs>
        <w:ind w:left="709" w:firstLine="0"/>
        <w:rPr>
          <w:rFonts w:cs="Arial"/>
          <w:sz w:val="20"/>
          <w:szCs w:val="20"/>
          <w:lang w:val="fr-FR"/>
        </w:rPr>
      </w:pPr>
      <w:r w:rsidRPr="00A86354">
        <w:rPr>
          <w:rFonts w:cs="Arial"/>
          <w:sz w:val="20"/>
          <w:szCs w:val="20"/>
          <w:lang w:val="fr-FR"/>
        </w:rPr>
        <w:t>élaborer et promulguer des normes nationales minimales et des directives relatives à l</w:t>
      </w:r>
      <w:r w:rsidRPr="00A86354" w:rsidR="0006032C">
        <w:rPr>
          <w:rFonts w:cs="Arial"/>
          <w:sz w:val="20"/>
          <w:szCs w:val="20"/>
          <w:lang w:val="fr-FR"/>
        </w:rPr>
        <w:t>’</w:t>
      </w:r>
      <w:r w:rsidRPr="00A86354">
        <w:rPr>
          <w:rFonts w:cs="Arial"/>
          <w:sz w:val="20"/>
          <w:szCs w:val="20"/>
          <w:lang w:val="fr-FR"/>
        </w:rPr>
        <w:t>accessibilité des installations et services ouverts ou fournis au public et contrôler l</w:t>
      </w:r>
      <w:r w:rsidRPr="00A86354" w:rsidR="0006032C">
        <w:rPr>
          <w:rFonts w:cs="Arial"/>
          <w:sz w:val="20"/>
          <w:szCs w:val="20"/>
          <w:lang w:val="fr-FR"/>
        </w:rPr>
        <w:t>’</w:t>
      </w:r>
      <w:r w:rsidRPr="00A86354">
        <w:rPr>
          <w:rFonts w:cs="Arial"/>
          <w:sz w:val="20"/>
          <w:szCs w:val="20"/>
          <w:lang w:val="fr-FR"/>
        </w:rPr>
        <w:t>application de ces normes et directives</w:t>
      </w:r>
      <w:r w:rsidRPr="00A86354" w:rsidR="000807D5">
        <w:rPr>
          <w:rFonts w:cs="Arial"/>
          <w:sz w:val="20"/>
          <w:szCs w:val="20"/>
          <w:lang w:val="fr-FR"/>
        </w:rPr>
        <w:t> ;</w:t>
      </w:r>
    </w:p>
    <w:p w:rsidRPr="00A86354" w:rsidR="00167F92" w:rsidP="00A86354" w:rsidRDefault="00167F92" w14:paraId="29430522" w14:textId="77777777">
      <w:pPr>
        <w:pStyle w:val="ListParagraph"/>
        <w:tabs>
          <w:tab w:val="left" w:pos="1134"/>
        </w:tabs>
        <w:ind w:left="709"/>
        <w:rPr>
          <w:rFonts w:cs="Arial"/>
          <w:sz w:val="20"/>
          <w:szCs w:val="20"/>
          <w:lang w:val="fr-FR"/>
        </w:rPr>
      </w:pPr>
    </w:p>
    <w:p w:rsidRPr="00A86354" w:rsidR="00167F92" w:rsidP="00CE016A" w:rsidRDefault="006A7D5B" w14:paraId="192ABBC0" w14:textId="39002CA1">
      <w:pPr>
        <w:pStyle w:val="ListParagraph"/>
        <w:numPr>
          <w:ilvl w:val="0"/>
          <w:numId w:val="6"/>
        </w:numPr>
        <w:tabs>
          <w:tab w:val="left" w:pos="1134"/>
        </w:tabs>
        <w:ind w:left="709" w:firstLine="0"/>
        <w:rPr>
          <w:rFonts w:cs="Arial"/>
          <w:sz w:val="20"/>
          <w:szCs w:val="20"/>
          <w:lang w:val="fr-FR"/>
        </w:rPr>
      </w:pPr>
      <w:r w:rsidRPr="00A86354">
        <w:rPr>
          <w:rFonts w:cs="Arial"/>
          <w:sz w:val="20"/>
          <w:szCs w:val="20"/>
          <w:lang w:val="fr-FR"/>
        </w:rPr>
        <w:t>faire en sorte que les organismes privés qui offrent des installations ou des services qui sont ouverts ou fournis au public prennent en compte tous les aspects de l</w:t>
      </w:r>
      <w:r w:rsidRPr="00A86354" w:rsidR="0006032C">
        <w:rPr>
          <w:rFonts w:cs="Arial"/>
          <w:sz w:val="20"/>
          <w:szCs w:val="20"/>
          <w:lang w:val="fr-FR"/>
        </w:rPr>
        <w:t>’</w:t>
      </w:r>
      <w:r w:rsidRPr="00A86354">
        <w:rPr>
          <w:rFonts w:cs="Arial"/>
          <w:sz w:val="20"/>
          <w:szCs w:val="20"/>
          <w:lang w:val="fr-FR"/>
        </w:rPr>
        <w:t>accessibilité par les personnes handicapées</w:t>
      </w:r>
      <w:r w:rsidRPr="00A86354" w:rsidR="000807D5">
        <w:rPr>
          <w:rFonts w:cs="Arial"/>
          <w:sz w:val="20"/>
          <w:szCs w:val="20"/>
          <w:lang w:val="fr-FR"/>
        </w:rPr>
        <w:t> ;</w:t>
      </w:r>
    </w:p>
    <w:p w:rsidRPr="00A86354" w:rsidR="00167F92" w:rsidP="00A86354" w:rsidRDefault="00167F92" w14:paraId="360B65A9" w14:textId="77777777">
      <w:pPr>
        <w:pStyle w:val="ListParagraph"/>
        <w:tabs>
          <w:tab w:val="left" w:pos="1134"/>
        </w:tabs>
        <w:ind w:left="709"/>
        <w:rPr>
          <w:rFonts w:cs="Arial"/>
          <w:sz w:val="20"/>
          <w:szCs w:val="20"/>
          <w:lang w:val="fr-FR"/>
        </w:rPr>
      </w:pPr>
    </w:p>
    <w:p w:rsidRPr="00A86354" w:rsidR="00167F92" w:rsidP="00CE016A" w:rsidRDefault="006A7D5B" w14:paraId="17716E39" w14:textId="27A22474">
      <w:pPr>
        <w:pStyle w:val="ListParagraph"/>
        <w:numPr>
          <w:ilvl w:val="0"/>
          <w:numId w:val="6"/>
        </w:numPr>
        <w:tabs>
          <w:tab w:val="left" w:pos="1134"/>
        </w:tabs>
        <w:ind w:left="709" w:firstLine="0"/>
        <w:rPr>
          <w:rFonts w:cs="Arial"/>
          <w:sz w:val="20"/>
          <w:szCs w:val="20"/>
          <w:lang w:val="fr-FR"/>
        </w:rPr>
      </w:pPr>
      <w:r w:rsidRPr="00A86354">
        <w:rPr>
          <w:rFonts w:cs="Arial"/>
          <w:sz w:val="20"/>
          <w:szCs w:val="20"/>
          <w:lang w:val="fr-FR"/>
        </w:rPr>
        <w:t>assurer aux parties concernées une formation concernant les problèmes d</w:t>
      </w:r>
      <w:r w:rsidRPr="00A86354" w:rsidR="0006032C">
        <w:rPr>
          <w:rFonts w:cs="Arial"/>
          <w:sz w:val="20"/>
          <w:szCs w:val="20"/>
          <w:lang w:val="fr-FR"/>
        </w:rPr>
        <w:t>’</w:t>
      </w:r>
      <w:r w:rsidRPr="00A86354">
        <w:rPr>
          <w:rFonts w:cs="Arial"/>
          <w:sz w:val="20"/>
          <w:szCs w:val="20"/>
          <w:lang w:val="fr-FR"/>
        </w:rPr>
        <w:t>accès auxquels les personnes handicapées sont confrontées</w:t>
      </w:r>
      <w:r w:rsidRPr="00A86354" w:rsidR="000807D5">
        <w:rPr>
          <w:rFonts w:cs="Arial"/>
          <w:sz w:val="20"/>
          <w:szCs w:val="20"/>
          <w:lang w:val="fr-FR"/>
        </w:rPr>
        <w:t> ;</w:t>
      </w:r>
    </w:p>
    <w:p w:rsidRPr="00A86354" w:rsidR="00167F92" w:rsidP="00A86354" w:rsidRDefault="00167F92" w14:paraId="6FCE96DA" w14:textId="77777777">
      <w:pPr>
        <w:pStyle w:val="ListParagraph"/>
        <w:tabs>
          <w:tab w:val="left" w:pos="1134"/>
        </w:tabs>
        <w:ind w:left="709"/>
        <w:rPr>
          <w:rFonts w:cs="Arial"/>
          <w:sz w:val="20"/>
          <w:szCs w:val="20"/>
          <w:lang w:val="fr-FR"/>
        </w:rPr>
      </w:pPr>
    </w:p>
    <w:p w:rsidRPr="00A86354" w:rsidR="00167F92" w:rsidP="00CE016A" w:rsidRDefault="006A7D5B" w14:paraId="759E4065" w14:textId="1BCA5BCC">
      <w:pPr>
        <w:pStyle w:val="ListParagraph"/>
        <w:numPr>
          <w:ilvl w:val="0"/>
          <w:numId w:val="6"/>
        </w:numPr>
        <w:tabs>
          <w:tab w:val="left" w:pos="1134"/>
        </w:tabs>
        <w:ind w:left="709" w:firstLine="0"/>
        <w:rPr>
          <w:rFonts w:cs="Arial"/>
          <w:sz w:val="20"/>
          <w:szCs w:val="20"/>
          <w:lang w:val="fr-FR"/>
        </w:rPr>
      </w:pPr>
      <w:r w:rsidRPr="00A86354">
        <w:rPr>
          <w:rFonts w:cs="Arial"/>
          <w:sz w:val="20"/>
          <w:szCs w:val="20"/>
          <w:lang w:val="fr-FR"/>
        </w:rPr>
        <w:t>faire mettre en place dans les bâtiments et autres installations ouverts au public une signalisation en braille et sous des formes faciles à lire et à comprendre</w:t>
      </w:r>
      <w:r w:rsidRPr="00A86354" w:rsidR="000807D5">
        <w:rPr>
          <w:rFonts w:cs="Arial"/>
          <w:sz w:val="20"/>
          <w:szCs w:val="20"/>
          <w:lang w:val="fr-FR"/>
        </w:rPr>
        <w:t> ;</w:t>
      </w:r>
    </w:p>
    <w:p w:rsidRPr="00A86354" w:rsidR="00167F92" w:rsidP="00A86354" w:rsidRDefault="00167F92" w14:paraId="0310824E" w14:textId="77777777">
      <w:pPr>
        <w:pStyle w:val="ListParagraph"/>
        <w:tabs>
          <w:tab w:val="left" w:pos="1134"/>
        </w:tabs>
        <w:ind w:left="709"/>
        <w:rPr>
          <w:rFonts w:cs="Arial"/>
          <w:sz w:val="20"/>
          <w:szCs w:val="20"/>
          <w:lang w:val="fr-FR"/>
        </w:rPr>
      </w:pPr>
    </w:p>
    <w:p w:rsidRPr="00A86354" w:rsidR="00167F92" w:rsidP="00CE016A" w:rsidRDefault="006A7D5B" w14:paraId="53194BAA" w14:textId="02D088AB">
      <w:pPr>
        <w:pStyle w:val="ListParagraph"/>
        <w:numPr>
          <w:ilvl w:val="0"/>
          <w:numId w:val="6"/>
        </w:numPr>
        <w:tabs>
          <w:tab w:val="left" w:pos="1134"/>
        </w:tabs>
        <w:ind w:left="709" w:firstLine="0"/>
        <w:rPr>
          <w:rFonts w:cs="Arial"/>
          <w:sz w:val="20"/>
          <w:szCs w:val="20"/>
          <w:lang w:val="fr-FR"/>
        </w:rPr>
      </w:pPr>
      <w:r w:rsidRPr="00A86354">
        <w:rPr>
          <w:rFonts w:cs="Arial"/>
          <w:sz w:val="20"/>
          <w:szCs w:val="20"/>
          <w:lang w:val="fr-FR"/>
        </w:rPr>
        <w:t>mettre à disposition des formes d</w:t>
      </w:r>
      <w:r w:rsidRPr="00A86354" w:rsidR="0006032C">
        <w:rPr>
          <w:rFonts w:cs="Arial"/>
          <w:sz w:val="20"/>
          <w:szCs w:val="20"/>
          <w:lang w:val="fr-FR"/>
        </w:rPr>
        <w:t>’</w:t>
      </w:r>
      <w:r w:rsidRPr="00A86354">
        <w:rPr>
          <w:rFonts w:cs="Arial"/>
          <w:sz w:val="20"/>
          <w:szCs w:val="20"/>
          <w:lang w:val="fr-FR"/>
        </w:rPr>
        <w:t>aide humaine ou animalière et les services de médiateurs, notamment de guides, de lecteurs et d</w:t>
      </w:r>
      <w:r w:rsidRPr="00A86354" w:rsidR="0006032C">
        <w:rPr>
          <w:rFonts w:cs="Arial"/>
          <w:sz w:val="20"/>
          <w:szCs w:val="20"/>
          <w:lang w:val="fr-FR"/>
        </w:rPr>
        <w:t>’</w:t>
      </w:r>
      <w:r w:rsidRPr="00A86354">
        <w:rPr>
          <w:rFonts w:cs="Arial"/>
          <w:sz w:val="20"/>
          <w:szCs w:val="20"/>
          <w:lang w:val="fr-FR"/>
        </w:rPr>
        <w:t>interprètes professionnels en langue des signes, afin de faciliter l</w:t>
      </w:r>
      <w:r w:rsidRPr="00A86354" w:rsidR="0006032C">
        <w:rPr>
          <w:rFonts w:cs="Arial"/>
          <w:sz w:val="20"/>
          <w:szCs w:val="20"/>
          <w:lang w:val="fr-FR"/>
        </w:rPr>
        <w:t>’</w:t>
      </w:r>
      <w:r w:rsidRPr="00A86354">
        <w:rPr>
          <w:rFonts w:cs="Arial"/>
          <w:sz w:val="20"/>
          <w:szCs w:val="20"/>
          <w:lang w:val="fr-FR"/>
        </w:rPr>
        <w:t>accès des bâtiments et autres installations ouverts au public</w:t>
      </w:r>
      <w:r w:rsidRPr="00A86354" w:rsidR="000807D5">
        <w:rPr>
          <w:rFonts w:cs="Arial"/>
          <w:sz w:val="20"/>
          <w:szCs w:val="20"/>
          <w:lang w:val="fr-FR"/>
        </w:rPr>
        <w:t> ;</w:t>
      </w:r>
    </w:p>
    <w:p w:rsidRPr="00A86354" w:rsidR="00167F92" w:rsidP="00A86354" w:rsidRDefault="00167F92" w14:paraId="0AEBCA3B" w14:textId="77777777">
      <w:pPr>
        <w:pStyle w:val="ListParagraph"/>
        <w:tabs>
          <w:tab w:val="left" w:pos="1134"/>
        </w:tabs>
        <w:ind w:left="709"/>
        <w:rPr>
          <w:rFonts w:cs="Arial"/>
          <w:sz w:val="20"/>
          <w:szCs w:val="20"/>
          <w:lang w:val="fr-FR"/>
        </w:rPr>
      </w:pPr>
    </w:p>
    <w:p w:rsidRPr="00A86354" w:rsidR="00167F92" w:rsidP="00CE016A" w:rsidRDefault="006A7D5B" w14:paraId="0C78A508" w14:textId="49203E4B">
      <w:pPr>
        <w:pStyle w:val="ListParagraph"/>
        <w:numPr>
          <w:ilvl w:val="0"/>
          <w:numId w:val="6"/>
        </w:numPr>
        <w:tabs>
          <w:tab w:val="left" w:pos="1134"/>
        </w:tabs>
        <w:ind w:left="709" w:firstLine="0"/>
        <w:rPr>
          <w:rFonts w:cs="Arial"/>
          <w:sz w:val="20"/>
          <w:szCs w:val="20"/>
          <w:lang w:val="fr-FR"/>
        </w:rPr>
      </w:pPr>
      <w:r w:rsidRPr="00A86354">
        <w:rPr>
          <w:rFonts w:cs="Arial"/>
          <w:sz w:val="20"/>
          <w:szCs w:val="20"/>
          <w:lang w:val="fr-FR"/>
        </w:rPr>
        <w:t>promouvoir d</w:t>
      </w:r>
      <w:r w:rsidRPr="00A86354" w:rsidR="0006032C">
        <w:rPr>
          <w:rFonts w:cs="Arial"/>
          <w:sz w:val="20"/>
          <w:szCs w:val="20"/>
          <w:lang w:val="fr-FR"/>
        </w:rPr>
        <w:t>’</w:t>
      </w:r>
      <w:r w:rsidRPr="00A86354">
        <w:rPr>
          <w:rFonts w:cs="Arial"/>
          <w:sz w:val="20"/>
          <w:szCs w:val="20"/>
          <w:lang w:val="fr-FR"/>
        </w:rPr>
        <w:t>autres formes appropriées d</w:t>
      </w:r>
      <w:r w:rsidRPr="00A86354" w:rsidR="0006032C">
        <w:rPr>
          <w:rFonts w:cs="Arial"/>
          <w:sz w:val="20"/>
          <w:szCs w:val="20"/>
          <w:lang w:val="fr-FR"/>
        </w:rPr>
        <w:t>’</w:t>
      </w:r>
      <w:r w:rsidRPr="00A86354">
        <w:rPr>
          <w:rFonts w:cs="Arial"/>
          <w:sz w:val="20"/>
          <w:szCs w:val="20"/>
          <w:lang w:val="fr-FR"/>
        </w:rPr>
        <w:t>aide et d</w:t>
      </w:r>
      <w:r w:rsidRPr="00A86354" w:rsidR="0006032C">
        <w:rPr>
          <w:rFonts w:cs="Arial"/>
          <w:sz w:val="20"/>
          <w:szCs w:val="20"/>
          <w:lang w:val="fr-FR"/>
        </w:rPr>
        <w:t>’</w:t>
      </w:r>
      <w:r w:rsidRPr="00A86354">
        <w:rPr>
          <w:rFonts w:cs="Arial"/>
          <w:sz w:val="20"/>
          <w:szCs w:val="20"/>
          <w:lang w:val="fr-FR"/>
        </w:rPr>
        <w:t>accompagnement des personnes handicapées afin de leur assurer l</w:t>
      </w:r>
      <w:r w:rsidRPr="00A86354" w:rsidR="0006032C">
        <w:rPr>
          <w:rFonts w:cs="Arial"/>
          <w:sz w:val="20"/>
          <w:szCs w:val="20"/>
          <w:lang w:val="fr-FR"/>
        </w:rPr>
        <w:t>’</w:t>
      </w:r>
      <w:r w:rsidRPr="00A86354">
        <w:rPr>
          <w:rFonts w:cs="Arial"/>
          <w:sz w:val="20"/>
          <w:szCs w:val="20"/>
          <w:lang w:val="fr-FR"/>
        </w:rPr>
        <w:t>accès à l</w:t>
      </w:r>
      <w:r w:rsidRPr="00A86354" w:rsidR="0006032C">
        <w:rPr>
          <w:rFonts w:cs="Arial"/>
          <w:sz w:val="20"/>
          <w:szCs w:val="20"/>
          <w:lang w:val="fr-FR"/>
        </w:rPr>
        <w:t>’</w:t>
      </w:r>
      <w:r w:rsidRPr="00A86354">
        <w:rPr>
          <w:rFonts w:cs="Arial"/>
          <w:sz w:val="20"/>
          <w:szCs w:val="20"/>
          <w:lang w:val="fr-FR"/>
        </w:rPr>
        <w:t>information</w:t>
      </w:r>
      <w:r w:rsidRPr="00A86354" w:rsidR="000807D5">
        <w:rPr>
          <w:rFonts w:cs="Arial"/>
          <w:sz w:val="20"/>
          <w:szCs w:val="20"/>
          <w:lang w:val="fr-FR"/>
        </w:rPr>
        <w:t> ;</w:t>
      </w:r>
    </w:p>
    <w:p w:rsidRPr="00A86354" w:rsidR="00167F92" w:rsidP="00A86354" w:rsidRDefault="00167F92" w14:paraId="75B02C6C" w14:textId="77777777">
      <w:pPr>
        <w:pStyle w:val="ListParagraph"/>
        <w:tabs>
          <w:tab w:val="left" w:pos="1134"/>
        </w:tabs>
        <w:ind w:left="709"/>
        <w:rPr>
          <w:rFonts w:cs="Arial"/>
          <w:sz w:val="20"/>
          <w:szCs w:val="20"/>
          <w:lang w:val="fr-FR"/>
        </w:rPr>
      </w:pPr>
    </w:p>
    <w:p w:rsidRPr="00A86354" w:rsidR="00167F92" w:rsidP="00CE016A" w:rsidRDefault="006A7D5B" w14:paraId="0B5FE971" w14:textId="7FCA0CBD">
      <w:pPr>
        <w:pStyle w:val="ListParagraph"/>
        <w:numPr>
          <w:ilvl w:val="0"/>
          <w:numId w:val="6"/>
        </w:numPr>
        <w:tabs>
          <w:tab w:val="left" w:pos="1134"/>
        </w:tabs>
        <w:ind w:left="709" w:firstLine="0"/>
        <w:rPr>
          <w:rFonts w:cs="Arial"/>
          <w:sz w:val="20"/>
          <w:szCs w:val="20"/>
          <w:lang w:val="fr-FR"/>
        </w:rPr>
      </w:pPr>
      <w:r w:rsidRPr="00A86354">
        <w:rPr>
          <w:rFonts w:cs="Arial"/>
          <w:sz w:val="20"/>
          <w:szCs w:val="20"/>
          <w:lang w:val="fr-FR"/>
        </w:rPr>
        <w:t>promouvoir l</w:t>
      </w:r>
      <w:r w:rsidRPr="00A86354" w:rsidR="0006032C">
        <w:rPr>
          <w:rFonts w:cs="Arial"/>
          <w:sz w:val="20"/>
          <w:szCs w:val="20"/>
          <w:lang w:val="fr-FR"/>
        </w:rPr>
        <w:t>’</w:t>
      </w:r>
      <w:r w:rsidRPr="00A86354">
        <w:rPr>
          <w:rFonts w:cs="Arial"/>
          <w:sz w:val="20"/>
          <w:szCs w:val="20"/>
          <w:lang w:val="fr-FR"/>
        </w:rPr>
        <w:t>accès des personnes handicapées aux nouveaux systèmes et technologies de l</w:t>
      </w:r>
      <w:r w:rsidRPr="00A86354" w:rsidR="0006032C">
        <w:rPr>
          <w:rFonts w:cs="Arial"/>
          <w:sz w:val="20"/>
          <w:szCs w:val="20"/>
          <w:lang w:val="fr-FR"/>
        </w:rPr>
        <w:t>’</w:t>
      </w:r>
      <w:r w:rsidRPr="00A86354">
        <w:rPr>
          <w:rFonts w:cs="Arial"/>
          <w:sz w:val="20"/>
          <w:szCs w:val="20"/>
          <w:lang w:val="fr-FR"/>
        </w:rPr>
        <w:t>information et de la communication, y compris l</w:t>
      </w:r>
      <w:r w:rsidRPr="00A86354" w:rsidR="0006032C">
        <w:rPr>
          <w:rFonts w:cs="Arial"/>
          <w:sz w:val="20"/>
          <w:szCs w:val="20"/>
          <w:lang w:val="fr-FR"/>
        </w:rPr>
        <w:t>’</w:t>
      </w:r>
      <w:r w:rsidRPr="00A86354">
        <w:rPr>
          <w:rFonts w:cs="Arial"/>
          <w:sz w:val="20"/>
          <w:szCs w:val="20"/>
          <w:lang w:val="fr-FR"/>
        </w:rPr>
        <w:t>Internet</w:t>
      </w:r>
      <w:r w:rsidRPr="00A86354" w:rsidR="000807D5">
        <w:rPr>
          <w:rFonts w:cs="Arial"/>
          <w:sz w:val="20"/>
          <w:szCs w:val="20"/>
          <w:lang w:val="fr-FR"/>
        </w:rPr>
        <w:t> ;</w:t>
      </w:r>
    </w:p>
    <w:p w:rsidRPr="00A86354" w:rsidR="00167F92" w:rsidP="00A86354" w:rsidRDefault="00167F92" w14:paraId="33BEBB9F" w14:textId="77777777">
      <w:pPr>
        <w:pStyle w:val="ListParagraph"/>
        <w:tabs>
          <w:tab w:val="left" w:pos="1134"/>
        </w:tabs>
        <w:ind w:left="709"/>
        <w:rPr>
          <w:rFonts w:cs="Arial"/>
          <w:sz w:val="20"/>
          <w:szCs w:val="20"/>
          <w:lang w:val="fr-FR"/>
        </w:rPr>
      </w:pPr>
    </w:p>
    <w:p w:rsidRPr="00A86354" w:rsidR="00167F92" w:rsidP="00CE016A" w:rsidRDefault="006A7D5B" w14:paraId="798B5D1A" w14:textId="151B3599">
      <w:pPr>
        <w:pStyle w:val="ListParagraph"/>
        <w:numPr>
          <w:ilvl w:val="0"/>
          <w:numId w:val="6"/>
        </w:numPr>
        <w:tabs>
          <w:tab w:val="left" w:pos="1134"/>
        </w:tabs>
        <w:ind w:left="709" w:firstLine="0"/>
        <w:rPr>
          <w:rFonts w:cs="Arial"/>
          <w:sz w:val="20"/>
          <w:szCs w:val="20"/>
          <w:lang w:val="fr-FR"/>
        </w:rPr>
      </w:pPr>
      <w:r w:rsidRPr="00A86354">
        <w:rPr>
          <w:rFonts w:cs="Arial"/>
          <w:sz w:val="20"/>
          <w:szCs w:val="20"/>
          <w:lang w:val="fr-FR"/>
        </w:rPr>
        <w:t>promouvoir l</w:t>
      </w:r>
      <w:r w:rsidRPr="00A86354" w:rsidR="0006032C">
        <w:rPr>
          <w:rFonts w:cs="Arial"/>
          <w:sz w:val="20"/>
          <w:szCs w:val="20"/>
          <w:lang w:val="fr-FR"/>
        </w:rPr>
        <w:t>’</w:t>
      </w:r>
      <w:r w:rsidRPr="00A86354">
        <w:rPr>
          <w:rFonts w:cs="Arial"/>
          <w:sz w:val="20"/>
          <w:szCs w:val="20"/>
          <w:lang w:val="fr-FR"/>
        </w:rPr>
        <w:t>étude, la mise au point, la production et la diffusion de systèmes et technologies de l</w:t>
      </w:r>
      <w:r w:rsidRPr="00A86354" w:rsidR="0006032C">
        <w:rPr>
          <w:rFonts w:cs="Arial"/>
          <w:sz w:val="20"/>
          <w:szCs w:val="20"/>
          <w:lang w:val="fr-FR"/>
        </w:rPr>
        <w:t>’</w:t>
      </w:r>
      <w:r w:rsidRPr="00A86354">
        <w:rPr>
          <w:rFonts w:cs="Arial"/>
          <w:sz w:val="20"/>
          <w:szCs w:val="20"/>
          <w:lang w:val="fr-FR"/>
        </w:rPr>
        <w:t>information et de la communication à un stade précoce, de façon à en assurer l</w:t>
      </w:r>
      <w:r w:rsidRPr="00A86354" w:rsidR="0006032C">
        <w:rPr>
          <w:rFonts w:cs="Arial"/>
          <w:sz w:val="20"/>
          <w:szCs w:val="20"/>
          <w:lang w:val="fr-FR"/>
        </w:rPr>
        <w:t>’</w:t>
      </w:r>
      <w:r w:rsidRPr="00A86354">
        <w:rPr>
          <w:rFonts w:cs="Arial"/>
          <w:sz w:val="20"/>
          <w:szCs w:val="20"/>
          <w:lang w:val="fr-FR"/>
        </w:rPr>
        <w:t>accessibilité à un coût minimal</w:t>
      </w:r>
      <w:r w:rsidRPr="00A86354" w:rsidR="00167F92">
        <w:rPr>
          <w:rFonts w:cs="Arial"/>
          <w:sz w:val="20"/>
          <w:szCs w:val="20"/>
          <w:lang w:val="fr-FR"/>
        </w:rPr>
        <w:t>.</w:t>
      </w:r>
      <w:r w:rsidRPr="00A86354" w:rsidR="000807D5">
        <w:rPr>
          <w:rFonts w:cs="Arial"/>
          <w:sz w:val="20"/>
          <w:szCs w:val="20"/>
          <w:lang w:val="fr-FR"/>
        </w:rPr>
        <w:t> »</w:t>
      </w:r>
    </w:p>
    <w:p w:rsidRPr="00A86354" w:rsidR="00167F92" w:rsidP="00167F92" w:rsidRDefault="00167F92" w14:paraId="2A258758" w14:textId="77777777">
      <w:pPr>
        <w:pStyle w:val="ListParagraph"/>
        <w:ind w:left="360"/>
        <w:rPr>
          <w:rFonts w:cs="Arial"/>
          <w:lang w:val="fr-FR"/>
        </w:rPr>
      </w:pPr>
    </w:p>
    <w:p w:rsidRPr="00A86354" w:rsidR="004B0143" w:rsidP="00A86354" w:rsidRDefault="000807D5" w14:paraId="5C73984A" w14:textId="0047C5A9">
      <w:pPr>
        <w:tabs>
          <w:tab w:val="left" w:pos="1134"/>
        </w:tabs>
        <w:ind w:left="709"/>
        <w:rPr>
          <w:rFonts w:ascii="Arial" w:hAnsi="Arial" w:cs="Arial"/>
          <w:sz w:val="20"/>
          <w:szCs w:val="20"/>
          <w:lang w:val="fr-FR"/>
        </w:rPr>
      </w:pPr>
      <w:r w:rsidRPr="00A86354">
        <w:rPr>
          <w:rFonts w:ascii="Arial" w:hAnsi="Arial" w:cs="Arial"/>
          <w:sz w:val="20"/>
          <w:szCs w:val="20"/>
          <w:lang w:val="fr-FR"/>
        </w:rPr>
        <w:t>« </w:t>
      </w:r>
      <w:r w:rsidRPr="00A86354" w:rsidR="004B0143">
        <w:rPr>
          <w:rFonts w:ascii="Arial" w:hAnsi="Arial" w:cs="Arial"/>
          <w:sz w:val="20"/>
          <w:szCs w:val="20"/>
          <w:lang w:val="fr-FR"/>
        </w:rPr>
        <w:t xml:space="preserve">Article 19 – </w:t>
      </w:r>
      <w:r w:rsidRPr="00A86354" w:rsidR="00F1791B">
        <w:rPr>
          <w:rFonts w:ascii="Arial" w:hAnsi="Arial" w:cs="Arial"/>
          <w:sz w:val="20"/>
          <w:szCs w:val="20"/>
          <w:lang w:val="fr-FR"/>
        </w:rPr>
        <w:t>Autonomie de vie et inclusion dans la société</w:t>
      </w:r>
    </w:p>
    <w:p w:rsidRPr="00A86354" w:rsidR="004B0143" w:rsidP="00A86354" w:rsidRDefault="004B0143" w14:paraId="693B338D" w14:textId="77777777">
      <w:pPr>
        <w:tabs>
          <w:tab w:val="left" w:pos="1134"/>
        </w:tabs>
        <w:ind w:left="709"/>
        <w:rPr>
          <w:rFonts w:ascii="Arial" w:hAnsi="Arial" w:cs="Arial"/>
          <w:sz w:val="20"/>
          <w:szCs w:val="20"/>
          <w:lang w:val="fr-FR"/>
        </w:rPr>
      </w:pPr>
    </w:p>
    <w:p w:rsidRPr="00A86354" w:rsidR="004B0143" w:rsidP="00A86354" w:rsidRDefault="00F1791B" w14:paraId="59A62559" w14:textId="3E7B91E8">
      <w:pPr>
        <w:tabs>
          <w:tab w:val="left" w:pos="1134"/>
        </w:tabs>
        <w:ind w:left="709"/>
        <w:rPr>
          <w:rFonts w:ascii="Arial" w:hAnsi="Arial" w:cs="Arial"/>
          <w:sz w:val="20"/>
          <w:szCs w:val="20"/>
          <w:lang w:val="fr-FR"/>
        </w:rPr>
      </w:pPr>
      <w:r w:rsidRPr="00A86354">
        <w:rPr>
          <w:rFonts w:ascii="Arial" w:hAnsi="Arial" w:cs="Arial"/>
          <w:sz w:val="20"/>
          <w:szCs w:val="20"/>
          <w:lang w:val="fr-FR"/>
        </w:rPr>
        <w:t>Les États Parties à la présente Convention reconnaissent à toutes les personnes handicapées le droit de vivre dans la société, avec la même liberté de choix que les autres personnes, et prennent des mesures efficaces et appropriées pour faciliter aux personnes handicapées la pleine jouissance de ce droit ainsi que leur pleine intégration et participation à la société, notamment en veillant à ce que</w:t>
      </w:r>
      <w:r w:rsidRPr="00A86354" w:rsidR="000807D5">
        <w:rPr>
          <w:rFonts w:ascii="Arial" w:hAnsi="Arial" w:cs="Arial"/>
          <w:sz w:val="20"/>
          <w:szCs w:val="20"/>
          <w:lang w:val="fr-FR"/>
        </w:rPr>
        <w:t> :</w:t>
      </w:r>
    </w:p>
    <w:p w:rsidRPr="00A86354" w:rsidR="004B0143" w:rsidP="00A86354" w:rsidRDefault="004B0143" w14:paraId="55F3B8B3" w14:textId="77777777">
      <w:pPr>
        <w:tabs>
          <w:tab w:val="left" w:pos="1134"/>
        </w:tabs>
        <w:ind w:left="709"/>
        <w:rPr>
          <w:rFonts w:ascii="Arial" w:hAnsi="Arial" w:cs="Arial"/>
          <w:sz w:val="20"/>
          <w:szCs w:val="20"/>
          <w:lang w:val="fr-FR"/>
        </w:rPr>
      </w:pPr>
    </w:p>
    <w:p w:rsidRPr="00A86354" w:rsidR="004B0143" w:rsidP="00CE016A" w:rsidRDefault="00F1791B" w14:paraId="02017E0D" w14:textId="1015A373">
      <w:pPr>
        <w:pStyle w:val="ListParagraph"/>
        <w:numPr>
          <w:ilvl w:val="0"/>
          <w:numId w:val="7"/>
        </w:numPr>
        <w:tabs>
          <w:tab w:val="left" w:pos="1134"/>
        </w:tabs>
        <w:ind w:left="709" w:firstLine="0"/>
        <w:rPr>
          <w:rFonts w:cs="Arial"/>
          <w:sz w:val="20"/>
          <w:szCs w:val="20"/>
          <w:lang w:val="fr-FR"/>
        </w:rPr>
      </w:pPr>
      <w:r w:rsidRPr="00A86354">
        <w:rPr>
          <w:rFonts w:cs="Arial"/>
          <w:sz w:val="20"/>
          <w:szCs w:val="20"/>
          <w:lang w:val="fr-FR"/>
        </w:rPr>
        <w:t>les personnes handicapées aient la possibilité de choisir, sur la base de l</w:t>
      </w:r>
      <w:r w:rsidRPr="00A86354" w:rsidR="0006032C">
        <w:rPr>
          <w:rFonts w:cs="Arial"/>
          <w:sz w:val="20"/>
          <w:szCs w:val="20"/>
          <w:lang w:val="fr-FR"/>
        </w:rPr>
        <w:t>’</w:t>
      </w:r>
      <w:r w:rsidRPr="00A86354">
        <w:rPr>
          <w:rFonts w:cs="Arial"/>
          <w:sz w:val="20"/>
          <w:szCs w:val="20"/>
          <w:lang w:val="fr-FR"/>
        </w:rPr>
        <w:t>égalité avec les autres, leur lieu de résidence et où et avec qui elles vont vivre et qu</w:t>
      </w:r>
      <w:r w:rsidRPr="00A86354" w:rsidR="0006032C">
        <w:rPr>
          <w:rFonts w:cs="Arial"/>
          <w:sz w:val="20"/>
          <w:szCs w:val="20"/>
          <w:lang w:val="fr-FR"/>
        </w:rPr>
        <w:t>’</w:t>
      </w:r>
      <w:r w:rsidRPr="00A86354">
        <w:rPr>
          <w:rFonts w:cs="Arial"/>
          <w:sz w:val="20"/>
          <w:szCs w:val="20"/>
          <w:lang w:val="fr-FR"/>
        </w:rPr>
        <w:t>elles ne soient pas obligées de vivre dans un milieu de vie particulier</w:t>
      </w:r>
      <w:r w:rsidRPr="00A86354" w:rsidR="000807D5">
        <w:rPr>
          <w:rFonts w:cs="Arial"/>
          <w:sz w:val="20"/>
          <w:szCs w:val="20"/>
          <w:lang w:val="fr-FR"/>
        </w:rPr>
        <w:t> ;</w:t>
      </w:r>
    </w:p>
    <w:p w:rsidRPr="00A86354" w:rsidR="004B0143" w:rsidP="00A86354" w:rsidRDefault="004B0143" w14:paraId="4519E58C" w14:textId="77777777">
      <w:pPr>
        <w:pStyle w:val="ListParagraph"/>
        <w:tabs>
          <w:tab w:val="left" w:pos="1134"/>
        </w:tabs>
        <w:ind w:left="709"/>
        <w:rPr>
          <w:rFonts w:cs="Arial"/>
          <w:sz w:val="20"/>
          <w:szCs w:val="20"/>
          <w:lang w:val="fr-FR"/>
        </w:rPr>
      </w:pPr>
    </w:p>
    <w:p w:rsidRPr="00A86354" w:rsidR="004B0143" w:rsidP="00CE016A" w:rsidRDefault="00F1791B" w14:paraId="4CB82121" w14:textId="1DE3FBDD">
      <w:pPr>
        <w:pStyle w:val="ListParagraph"/>
        <w:numPr>
          <w:ilvl w:val="0"/>
          <w:numId w:val="7"/>
        </w:numPr>
        <w:tabs>
          <w:tab w:val="left" w:pos="1134"/>
        </w:tabs>
        <w:ind w:left="709" w:firstLine="0"/>
        <w:rPr>
          <w:rFonts w:cs="Arial"/>
          <w:sz w:val="20"/>
          <w:szCs w:val="20"/>
          <w:lang w:val="fr-FR"/>
        </w:rPr>
      </w:pPr>
      <w:r w:rsidRPr="00A86354">
        <w:rPr>
          <w:rFonts w:cs="Arial"/>
          <w:sz w:val="20"/>
          <w:szCs w:val="20"/>
          <w:lang w:val="fr-FR"/>
        </w:rPr>
        <w:t>les personnes handicapées aient accès à une gamme de services à domicile ou en établissement et autres services sociaux d</w:t>
      </w:r>
      <w:r w:rsidRPr="00A86354" w:rsidR="0006032C">
        <w:rPr>
          <w:rFonts w:cs="Arial"/>
          <w:sz w:val="20"/>
          <w:szCs w:val="20"/>
          <w:lang w:val="fr-FR"/>
        </w:rPr>
        <w:t>’</w:t>
      </w:r>
      <w:r w:rsidRPr="00A86354">
        <w:rPr>
          <w:rFonts w:cs="Arial"/>
          <w:sz w:val="20"/>
          <w:szCs w:val="20"/>
          <w:lang w:val="fr-FR"/>
        </w:rPr>
        <w:t>accompagnement, y compris l</w:t>
      </w:r>
      <w:r w:rsidRPr="00A86354" w:rsidR="0006032C">
        <w:rPr>
          <w:rFonts w:cs="Arial"/>
          <w:sz w:val="20"/>
          <w:szCs w:val="20"/>
          <w:lang w:val="fr-FR"/>
        </w:rPr>
        <w:t>’</w:t>
      </w:r>
      <w:r w:rsidRPr="00A86354">
        <w:rPr>
          <w:rFonts w:cs="Arial"/>
          <w:sz w:val="20"/>
          <w:szCs w:val="20"/>
          <w:lang w:val="fr-FR"/>
        </w:rPr>
        <w:t>aide personnelle nécessaire pour leur permettre de vivre dans la société et de s</w:t>
      </w:r>
      <w:r w:rsidRPr="00A86354" w:rsidR="0006032C">
        <w:rPr>
          <w:rFonts w:cs="Arial"/>
          <w:sz w:val="20"/>
          <w:szCs w:val="20"/>
          <w:lang w:val="fr-FR"/>
        </w:rPr>
        <w:t>’</w:t>
      </w:r>
      <w:r w:rsidRPr="00A86354">
        <w:rPr>
          <w:rFonts w:cs="Arial"/>
          <w:sz w:val="20"/>
          <w:szCs w:val="20"/>
          <w:lang w:val="fr-FR"/>
        </w:rPr>
        <w:t>y insérer et pour empêcher qu</w:t>
      </w:r>
      <w:r w:rsidRPr="00A86354" w:rsidR="0006032C">
        <w:rPr>
          <w:rFonts w:cs="Arial"/>
          <w:sz w:val="20"/>
          <w:szCs w:val="20"/>
          <w:lang w:val="fr-FR"/>
        </w:rPr>
        <w:t>’</w:t>
      </w:r>
      <w:r w:rsidRPr="00A86354">
        <w:rPr>
          <w:rFonts w:cs="Arial"/>
          <w:sz w:val="20"/>
          <w:szCs w:val="20"/>
          <w:lang w:val="fr-FR"/>
        </w:rPr>
        <w:t>elles ne soient isolées ou victimes de ségrégation</w:t>
      </w:r>
      <w:r w:rsidRPr="00A86354" w:rsidR="000807D5">
        <w:rPr>
          <w:rFonts w:cs="Arial"/>
          <w:sz w:val="20"/>
          <w:szCs w:val="20"/>
          <w:lang w:val="fr-FR"/>
        </w:rPr>
        <w:t> ;</w:t>
      </w:r>
    </w:p>
    <w:p w:rsidRPr="00A86354" w:rsidR="004B0143" w:rsidP="00A86354" w:rsidRDefault="004B0143" w14:paraId="36A2D1F3" w14:textId="77777777">
      <w:pPr>
        <w:pStyle w:val="ListParagraph"/>
        <w:tabs>
          <w:tab w:val="left" w:pos="1134"/>
        </w:tabs>
        <w:ind w:left="709"/>
        <w:rPr>
          <w:rFonts w:cs="Arial"/>
          <w:sz w:val="20"/>
          <w:szCs w:val="20"/>
          <w:lang w:val="fr-FR"/>
        </w:rPr>
      </w:pPr>
    </w:p>
    <w:p w:rsidRPr="00A86354" w:rsidR="006C6D0C" w:rsidP="00CE016A" w:rsidRDefault="00F1791B" w14:paraId="3713D3E2" w14:textId="75D13AB2">
      <w:pPr>
        <w:pStyle w:val="ListParagraph"/>
        <w:numPr>
          <w:ilvl w:val="0"/>
          <w:numId w:val="7"/>
        </w:numPr>
        <w:tabs>
          <w:tab w:val="left" w:pos="1134"/>
        </w:tabs>
        <w:ind w:left="709" w:firstLine="0"/>
        <w:rPr>
          <w:rFonts w:cs="Arial"/>
          <w:sz w:val="20"/>
          <w:szCs w:val="20"/>
          <w:lang w:val="fr-FR"/>
        </w:rPr>
      </w:pPr>
      <w:r w:rsidRPr="00A86354">
        <w:rPr>
          <w:rFonts w:cs="Arial"/>
          <w:sz w:val="20"/>
          <w:szCs w:val="20"/>
          <w:lang w:val="fr-FR"/>
        </w:rPr>
        <w:t>les services et équipements sociaux destinés à la population générale soient mis à la disposition des personnes handicapées, sur la base de l</w:t>
      </w:r>
      <w:r w:rsidRPr="00A86354" w:rsidR="0006032C">
        <w:rPr>
          <w:rFonts w:cs="Arial"/>
          <w:sz w:val="20"/>
          <w:szCs w:val="20"/>
          <w:lang w:val="fr-FR"/>
        </w:rPr>
        <w:t>’</w:t>
      </w:r>
      <w:r w:rsidRPr="00A86354">
        <w:rPr>
          <w:rFonts w:cs="Arial"/>
          <w:sz w:val="20"/>
          <w:szCs w:val="20"/>
          <w:lang w:val="fr-FR"/>
        </w:rPr>
        <w:t>égalité avec les autres, et soient adaptés à leurs besoins</w:t>
      </w:r>
      <w:r w:rsidRPr="00A86354" w:rsidR="004B0143">
        <w:rPr>
          <w:rFonts w:cs="Arial"/>
          <w:sz w:val="20"/>
          <w:szCs w:val="20"/>
          <w:lang w:val="fr-FR"/>
        </w:rPr>
        <w:t>.</w:t>
      </w:r>
      <w:r w:rsidRPr="00A86354" w:rsidR="000807D5">
        <w:rPr>
          <w:rFonts w:cs="Arial"/>
          <w:sz w:val="20"/>
          <w:szCs w:val="20"/>
          <w:lang w:val="fr-FR"/>
        </w:rPr>
        <w:t> »</w:t>
      </w:r>
    </w:p>
    <w:p w:rsidRPr="00A86354" w:rsidR="00656FDF" w:rsidP="00164744" w:rsidRDefault="00656FDF" w14:paraId="797EC67B" w14:textId="77777777">
      <w:pPr>
        <w:keepNext/>
        <w:keepLines/>
        <w:tabs>
          <w:tab w:val="left" w:pos="709"/>
        </w:tabs>
        <w:outlineLvl w:val="0"/>
        <w:rPr>
          <w:rFonts w:ascii="Arial" w:hAnsi="Arial" w:cs="Arial" w:eastAsiaTheme="majorEastAsia"/>
          <w:b/>
          <w:bCs/>
          <w:szCs w:val="28"/>
          <w:lang w:val="fr-FR"/>
        </w:rPr>
      </w:pPr>
    </w:p>
    <w:p w:rsidRPr="00A86354" w:rsidR="004B0143" w:rsidP="00164744" w:rsidRDefault="00E61F3B" w14:paraId="58F2093A" w14:textId="47B4ADDD">
      <w:pPr>
        <w:keepNext/>
        <w:keepLines/>
        <w:tabs>
          <w:tab w:val="left" w:pos="709"/>
        </w:tabs>
        <w:outlineLvl w:val="0"/>
        <w:rPr>
          <w:rFonts w:ascii="Arial" w:hAnsi="Arial" w:cs="Arial" w:eastAsiaTheme="majorEastAsia"/>
          <w:b/>
          <w:bCs/>
          <w:szCs w:val="28"/>
          <w:lang w:val="fr-FR"/>
        </w:rPr>
      </w:pPr>
      <w:r w:rsidRPr="00A86354">
        <w:rPr>
          <w:rFonts w:ascii="Arial" w:hAnsi="Arial" w:cs="Arial" w:eastAsiaTheme="majorEastAsia"/>
          <w:b/>
          <w:bCs/>
          <w:szCs w:val="28"/>
          <w:lang w:val="fr-FR"/>
        </w:rPr>
        <w:t>Comité des droits des personnes handicapées de l</w:t>
      </w:r>
      <w:r w:rsidRPr="00A86354" w:rsidR="0006032C">
        <w:rPr>
          <w:rFonts w:ascii="Arial" w:hAnsi="Arial" w:cs="Arial" w:eastAsiaTheme="majorEastAsia"/>
          <w:b/>
          <w:bCs/>
          <w:szCs w:val="28"/>
          <w:lang w:val="fr-FR"/>
        </w:rPr>
        <w:t>’</w:t>
      </w:r>
      <w:r w:rsidRPr="00A86354">
        <w:rPr>
          <w:rFonts w:ascii="Arial" w:hAnsi="Arial" w:cs="Arial" w:eastAsiaTheme="majorEastAsia"/>
          <w:b/>
          <w:bCs/>
          <w:szCs w:val="28"/>
          <w:lang w:val="fr-FR"/>
        </w:rPr>
        <w:t>ONU</w:t>
      </w:r>
    </w:p>
    <w:p w:rsidRPr="00A86354" w:rsidR="00317329" w:rsidP="00164744" w:rsidRDefault="00317329" w14:paraId="3D77CE9C" w14:textId="383E09D8">
      <w:pPr>
        <w:keepNext/>
        <w:keepLines/>
        <w:tabs>
          <w:tab w:val="left" w:pos="709"/>
        </w:tabs>
        <w:outlineLvl w:val="0"/>
        <w:rPr>
          <w:rFonts w:ascii="Arial" w:hAnsi="Arial" w:cs="Arial" w:eastAsiaTheme="majorEastAsia"/>
          <w:b/>
          <w:bCs/>
          <w:szCs w:val="28"/>
          <w:lang w:val="fr-FR"/>
        </w:rPr>
      </w:pPr>
    </w:p>
    <w:p w:rsidRPr="00A86354" w:rsidR="00317329" w:rsidP="00656FDF" w:rsidRDefault="00E61F3B" w14:paraId="3F0C6EC6" w14:textId="043E57A3">
      <w:pPr>
        <w:tabs>
          <w:tab w:val="left" w:pos="709"/>
        </w:tabs>
        <w:outlineLvl w:val="0"/>
        <w:rPr>
          <w:rFonts w:ascii="Arial" w:hAnsi="Arial" w:cs="Arial"/>
          <w:b/>
          <w:bCs/>
          <w:szCs w:val="28"/>
          <w:lang w:val="fr-FR"/>
        </w:rPr>
      </w:pPr>
      <w:r w:rsidRPr="00A86354">
        <w:rPr>
          <w:rFonts w:ascii="Arial" w:hAnsi="Arial" w:cs="Arial" w:eastAsiaTheme="majorEastAsia"/>
          <w:b/>
          <w:bCs/>
          <w:szCs w:val="28"/>
          <w:lang w:val="fr-FR"/>
        </w:rPr>
        <w:t>Observation générale n°</w:t>
      </w:r>
      <w:r w:rsidRPr="00A86354" w:rsidR="00317329">
        <w:rPr>
          <w:rFonts w:ascii="Arial" w:hAnsi="Arial" w:cs="Arial" w:eastAsiaTheme="majorEastAsia"/>
          <w:b/>
          <w:bCs/>
          <w:szCs w:val="28"/>
          <w:lang w:val="fr-FR"/>
        </w:rPr>
        <w:t xml:space="preserve"> 5</w:t>
      </w:r>
      <w:r w:rsidRPr="00A86354">
        <w:rPr>
          <w:rFonts w:ascii="Arial" w:hAnsi="Arial" w:cs="Arial" w:eastAsiaTheme="majorEastAsia"/>
          <w:b/>
          <w:bCs/>
          <w:szCs w:val="28"/>
          <w:lang w:val="fr-FR"/>
        </w:rPr>
        <w:t xml:space="preserve"> </w:t>
      </w:r>
      <w:r w:rsidRPr="00A86354" w:rsidR="00317329">
        <w:rPr>
          <w:rFonts w:ascii="Arial" w:hAnsi="Arial" w:cs="Arial" w:eastAsiaTheme="majorEastAsia"/>
          <w:b/>
          <w:bCs/>
          <w:szCs w:val="28"/>
          <w:lang w:val="fr-FR"/>
        </w:rPr>
        <w:t xml:space="preserve">(2017) </w:t>
      </w:r>
      <w:r w:rsidRPr="00A86354">
        <w:rPr>
          <w:rFonts w:ascii="Arial" w:hAnsi="Arial" w:cs="Arial"/>
          <w:b/>
          <w:bCs/>
          <w:szCs w:val="28"/>
          <w:lang w:val="fr-FR"/>
        </w:rPr>
        <w:t>sur l</w:t>
      </w:r>
      <w:r w:rsidRPr="00A86354" w:rsidR="0006032C">
        <w:rPr>
          <w:rFonts w:ascii="Arial" w:hAnsi="Arial" w:cs="Arial"/>
          <w:b/>
          <w:bCs/>
          <w:szCs w:val="28"/>
          <w:lang w:val="fr-FR"/>
        </w:rPr>
        <w:t>’</w:t>
      </w:r>
      <w:r w:rsidRPr="00A86354">
        <w:rPr>
          <w:rFonts w:ascii="Arial" w:hAnsi="Arial" w:cs="Arial"/>
          <w:b/>
          <w:bCs/>
          <w:szCs w:val="28"/>
          <w:lang w:val="fr-FR"/>
        </w:rPr>
        <w:t>autonomie de vie et l</w:t>
      </w:r>
      <w:r w:rsidRPr="00A86354" w:rsidR="0006032C">
        <w:rPr>
          <w:rFonts w:ascii="Arial" w:hAnsi="Arial" w:cs="Arial"/>
          <w:b/>
          <w:bCs/>
          <w:szCs w:val="28"/>
          <w:lang w:val="fr-FR"/>
        </w:rPr>
        <w:t>’</w:t>
      </w:r>
      <w:r w:rsidRPr="00A86354">
        <w:rPr>
          <w:rFonts w:ascii="Arial" w:hAnsi="Arial" w:cs="Arial"/>
          <w:b/>
          <w:bCs/>
          <w:szCs w:val="28"/>
          <w:lang w:val="fr-FR"/>
        </w:rPr>
        <w:t>inclusion dans la société</w:t>
      </w:r>
      <w:r w:rsidRPr="00A86354" w:rsidR="00317329">
        <w:rPr>
          <w:rFonts w:ascii="Arial" w:hAnsi="Arial" w:cs="Arial" w:eastAsiaTheme="majorEastAsia"/>
          <w:b/>
          <w:bCs/>
          <w:szCs w:val="28"/>
          <w:lang w:val="fr-FR"/>
        </w:rPr>
        <w:t xml:space="preserve"> (</w:t>
      </w:r>
      <w:r w:rsidRPr="00A86354">
        <w:rPr>
          <w:rFonts w:ascii="Arial" w:hAnsi="Arial" w:cs="Arial" w:eastAsiaTheme="majorEastAsia"/>
          <w:b/>
          <w:bCs/>
          <w:szCs w:val="28"/>
          <w:lang w:val="fr-FR"/>
        </w:rPr>
        <w:t>a</w:t>
      </w:r>
      <w:r w:rsidRPr="00A86354" w:rsidR="00317329">
        <w:rPr>
          <w:rFonts w:ascii="Arial" w:hAnsi="Arial" w:cs="Arial" w:eastAsiaTheme="majorEastAsia"/>
          <w:b/>
          <w:bCs/>
          <w:szCs w:val="28"/>
          <w:lang w:val="fr-FR"/>
        </w:rPr>
        <w:t xml:space="preserve">rticle 19 </w:t>
      </w:r>
      <w:r w:rsidRPr="00A86354">
        <w:rPr>
          <w:rFonts w:ascii="Arial" w:hAnsi="Arial" w:cs="Arial" w:eastAsiaTheme="majorEastAsia"/>
          <w:b/>
          <w:bCs/>
          <w:szCs w:val="28"/>
          <w:lang w:val="fr-FR"/>
        </w:rPr>
        <w:t>de la CIDPH</w:t>
      </w:r>
      <w:r w:rsidRPr="00A86354" w:rsidR="00317329">
        <w:rPr>
          <w:rFonts w:ascii="Arial" w:hAnsi="Arial" w:cs="Arial" w:eastAsiaTheme="majorEastAsia"/>
          <w:b/>
          <w:bCs/>
          <w:szCs w:val="28"/>
          <w:lang w:val="fr-FR"/>
        </w:rPr>
        <w:t>)</w:t>
      </w:r>
    </w:p>
    <w:p w:rsidRPr="00A86354" w:rsidR="004B0143" w:rsidP="00656FDF" w:rsidRDefault="004B0143" w14:paraId="6271EC36" w14:textId="77777777">
      <w:pPr>
        <w:tabs>
          <w:tab w:val="left" w:pos="709"/>
        </w:tabs>
        <w:outlineLvl w:val="0"/>
        <w:rPr>
          <w:rFonts w:ascii="Arial" w:hAnsi="Arial" w:cs="Arial" w:eastAsiaTheme="majorEastAsia"/>
          <w:b/>
          <w:bCs/>
          <w:szCs w:val="28"/>
          <w:lang w:val="fr-FR"/>
        </w:rPr>
      </w:pPr>
    </w:p>
    <w:p w:rsidRPr="00A86354" w:rsidR="00D07D5C" w:rsidP="00CE016A" w:rsidRDefault="00E61F3B" w14:paraId="5336A9DB" w14:textId="2598B05F">
      <w:pPr>
        <w:pStyle w:val="ListParagraph"/>
        <w:numPr>
          <w:ilvl w:val="0"/>
          <w:numId w:val="1"/>
        </w:numPr>
        <w:tabs>
          <w:tab w:val="left" w:pos="709"/>
        </w:tabs>
        <w:ind w:left="0" w:firstLine="0"/>
        <w:outlineLvl w:val="0"/>
        <w:rPr>
          <w:rFonts w:cs="Arial" w:eastAsiaTheme="majorEastAsia"/>
          <w:szCs w:val="28"/>
          <w:lang w:val="fr-FR"/>
        </w:rPr>
      </w:pPr>
      <w:r w:rsidRPr="00A86354">
        <w:rPr>
          <w:rFonts w:cs="Arial" w:eastAsiaTheme="majorEastAsia"/>
          <w:szCs w:val="28"/>
          <w:lang w:val="fr-FR"/>
        </w:rPr>
        <w:t xml:space="preserve">Dans son </w:t>
      </w:r>
      <w:r w:rsidRPr="00A86354" w:rsidR="00656FDF">
        <w:rPr>
          <w:rFonts w:cs="Arial" w:eastAsiaTheme="majorEastAsia"/>
          <w:szCs w:val="28"/>
          <w:lang w:val="fr-FR"/>
        </w:rPr>
        <w:t>O</w:t>
      </w:r>
      <w:r w:rsidRPr="00A86354">
        <w:rPr>
          <w:rFonts w:cs="Arial" w:eastAsiaTheme="majorEastAsia"/>
          <w:szCs w:val="28"/>
          <w:lang w:val="fr-FR"/>
        </w:rPr>
        <w:t>bservation générale n°</w:t>
      </w:r>
      <w:r w:rsidRPr="00A86354" w:rsidR="00317329">
        <w:rPr>
          <w:rFonts w:cs="Arial" w:eastAsiaTheme="majorEastAsia"/>
          <w:szCs w:val="28"/>
          <w:lang w:val="fr-FR"/>
        </w:rPr>
        <w:t xml:space="preserve"> 5, </w:t>
      </w:r>
      <w:r w:rsidRPr="00A86354">
        <w:rPr>
          <w:rFonts w:cs="Arial" w:eastAsiaTheme="majorEastAsia"/>
          <w:szCs w:val="28"/>
          <w:lang w:val="fr-FR"/>
        </w:rPr>
        <w:t>le Comité de l</w:t>
      </w:r>
      <w:r w:rsidRPr="00A86354" w:rsidR="0006032C">
        <w:rPr>
          <w:rFonts w:cs="Arial" w:eastAsiaTheme="majorEastAsia"/>
          <w:szCs w:val="28"/>
          <w:lang w:val="fr-FR"/>
        </w:rPr>
        <w:t>’</w:t>
      </w:r>
      <w:r w:rsidRPr="00A86354">
        <w:rPr>
          <w:rFonts w:cs="Arial" w:eastAsiaTheme="majorEastAsia"/>
          <w:szCs w:val="28"/>
          <w:lang w:val="fr-FR"/>
        </w:rPr>
        <w:t>ONU a formulé un certain nombre de recommandations</w:t>
      </w:r>
      <w:r w:rsidRPr="00A86354" w:rsidR="00317329">
        <w:rPr>
          <w:rFonts w:cs="Arial" w:eastAsiaTheme="majorEastAsia"/>
          <w:szCs w:val="28"/>
          <w:lang w:val="fr-FR"/>
        </w:rPr>
        <w:t xml:space="preserve"> </w:t>
      </w:r>
      <w:r w:rsidRPr="00A86354">
        <w:rPr>
          <w:rFonts w:cs="Arial" w:eastAsiaTheme="majorEastAsia"/>
          <w:szCs w:val="28"/>
          <w:lang w:val="fr-FR"/>
        </w:rPr>
        <w:t xml:space="preserve">pour garantir </w:t>
      </w:r>
      <w:r w:rsidRPr="00A86354" w:rsidR="00037049">
        <w:rPr>
          <w:rFonts w:cs="Arial" w:eastAsiaTheme="majorEastAsia"/>
          <w:szCs w:val="28"/>
          <w:lang w:val="fr-FR"/>
        </w:rPr>
        <w:t>l</w:t>
      </w:r>
      <w:r w:rsidRPr="00A86354" w:rsidR="0006032C">
        <w:rPr>
          <w:rFonts w:cs="Arial" w:eastAsiaTheme="majorEastAsia"/>
          <w:szCs w:val="28"/>
          <w:lang w:val="fr-FR"/>
        </w:rPr>
        <w:t>’</w:t>
      </w:r>
      <w:r w:rsidRPr="00A86354">
        <w:rPr>
          <w:rFonts w:cs="Arial" w:eastAsiaTheme="majorEastAsia"/>
          <w:szCs w:val="28"/>
          <w:lang w:val="fr-FR"/>
        </w:rPr>
        <w:t xml:space="preserve">application </w:t>
      </w:r>
      <w:r w:rsidRPr="00A86354" w:rsidR="00037049">
        <w:rPr>
          <w:rFonts w:cs="Arial" w:eastAsiaTheme="majorEastAsia"/>
          <w:szCs w:val="28"/>
          <w:lang w:val="fr-FR"/>
        </w:rPr>
        <w:t xml:space="preserve">intégrale </w:t>
      </w:r>
      <w:r w:rsidRPr="00A86354">
        <w:rPr>
          <w:rFonts w:cs="Arial" w:eastAsiaTheme="majorEastAsia"/>
          <w:szCs w:val="28"/>
          <w:lang w:val="fr-FR"/>
        </w:rPr>
        <w:t>de l</w:t>
      </w:r>
      <w:r w:rsidRPr="00A86354" w:rsidR="0006032C">
        <w:rPr>
          <w:rFonts w:cs="Arial" w:eastAsiaTheme="majorEastAsia"/>
          <w:szCs w:val="28"/>
          <w:lang w:val="fr-FR"/>
        </w:rPr>
        <w:t>’</w:t>
      </w:r>
      <w:r w:rsidRPr="00A86354">
        <w:rPr>
          <w:rFonts w:cs="Arial" w:eastAsiaTheme="majorEastAsia"/>
          <w:szCs w:val="28"/>
          <w:lang w:val="fr-FR"/>
        </w:rPr>
        <w:t>a</w:t>
      </w:r>
      <w:r w:rsidRPr="00A86354" w:rsidR="00D07D5C">
        <w:rPr>
          <w:rFonts w:cs="Arial" w:eastAsiaTheme="majorEastAsia"/>
          <w:szCs w:val="28"/>
          <w:lang w:val="fr-FR"/>
        </w:rPr>
        <w:t>rticle 19</w:t>
      </w:r>
      <w:r w:rsidRPr="00A86354" w:rsidR="004C6047">
        <w:rPr>
          <w:rFonts w:cs="Arial" w:eastAsiaTheme="majorEastAsia"/>
          <w:szCs w:val="28"/>
          <w:lang w:val="fr-FR"/>
        </w:rPr>
        <w:t xml:space="preserve"> </w:t>
      </w:r>
      <w:r w:rsidRPr="00A86354">
        <w:rPr>
          <w:rFonts w:cs="Arial" w:eastAsiaTheme="majorEastAsia"/>
          <w:szCs w:val="28"/>
          <w:lang w:val="fr-FR"/>
        </w:rPr>
        <w:t>au niveau</w:t>
      </w:r>
      <w:r w:rsidRPr="00A86354" w:rsidR="004C6047">
        <w:rPr>
          <w:rFonts w:cs="Arial" w:eastAsiaTheme="majorEastAsia"/>
          <w:szCs w:val="28"/>
          <w:lang w:val="fr-FR"/>
        </w:rPr>
        <w:t xml:space="preserve"> national. </w:t>
      </w:r>
      <w:r w:rsidRPr="00A86354">
        <w:rPr>
          <w:rFonts w:cs="Arial" w:eastAsiaTheme="majorEastAsia"/>
          <w:szCs w:val="28"/>
          <w:lang w:val="fr-FR"/>
        </w:rPr>
        <w:t xml:space="preserve">Il a notamment recommandé </w:t>
      </w:r>
      <w:r w:rsidRPr="00A86354" w:rsidR="00656FDF">
        <w:rPr>
          <w:rFonts w:cs="Arial" w:eastAsiaTheme="majorEastAsia"/>
          <w:szCs w:val="28"/>
          <w:lang w:val="fr-FR"/>
        </w:rPr>
        <w:t>les mesures suivantes</w:t>
      </w:r>
      <w:r w:rsidRPr="00A86354" w:rsidR="000807D5">
        <w:rPr>
          <w:rFonts w:cs="Arial" w:eastAsiaTheme="majorEastAsia"/>
          <w:szCs w:val="28"/>
          <w:lang w:val="fr-FR"/>
        </w:rPr>
        <w:t> :</w:t>
      </w:r>
      <w:r w:rsidRPr="00A86354" w:rsidR="004C6047">
        <w:rPr>
          <w:rFonts w:cs="Arial" w:eastAsiaTheme="majorEastAsia"/>
          <w:szCs w:val="28"/>
          <w:lang w:val="fr-FR"/>
        </w:rPr>
        <w:t xml:space="preserve"> </w:t>
      </w:r>
    </w:p>
    <w:p w:rsidRPr="00A86354" w:rsidR="004C6047" w:rsidP="00656FDF" w:rsidRDefault="004C6047" w14:paraId="7264AECD" w14:textId="1B92E7B6">
      <w:pPr>
        <w:tabs>
          <w:tab w:val="left" w:pos="709"/>
        </w:tabs>
        <w:outlineLvl w:val="0"/>
        <w:rPr>
          <w:rFonts w:ascii="Arial" w:hAnsi="Arial" w:cs="Arial" w:eastAsiaTheme="majorEastAsia"/>
          <w:szCs w:val="28"/>
          <w:lang w:val="fr-FR"/>
        </w:rPr>
      </w:pPr>
    </w:p>
    <w:p w:rsidRPr="00A86354" w:rsidR="004C6047" w:rsidP="00CE016A" w:rsidRDefault="006B09BB" w14:paraId="6DCFE0B2" w14:textId="59C73519">
      <w:pPr>
        <w:pStyle w:val="ListParagraph"/>
        <w:numPr>
          <w:ilvl w:val="0"/>
          <w:numId w:val="2"/>
        </w:numPr>
        <w:tabs>
          <w:tab w:val="left" w:pos="709"/>
        </w:tabs>
        <w:outlineLvl w:val="0"/>
        <w:rPr>
          <w:rFonts w:cs="Arial" w:eastAsiaTheme="majorEastAsia"/>
          <w:sz w:val="20"/>
          <w:szCs w:val="20"/>
          <w:lang w:val="fr-FR"/>
        </w:rPr>
      </w:pPr>
      <w:r w:rsidRPr="00A86354">
        <w:rPr>
          <w:rFonts w:cs="Arial" w:eastAsiaTheme="majorEastAsia"/>
          <w:sz w:val="20"/>
          <w:szCs w:val="20"/>
          <w:lang w:val="fr-FR"/>
        </w:rPr>
        <w:t>abroger toutes les lois qui empêchent les personnes handicapées, quel que soit leur handicap ou leur déficience, de choisir où, avec qui et selon quelles modalités elles vont vivre, y compris d</w:t>
      </w:r>
      <w:r w:rsidRPr="00A86354" w:rsidR="0006032C">
        <w:rPr>
          <w:rFonts w:cs="Arial" w:eastAsiaTheme="majorEastAsia"/>
          <w:sz w:val="20"/>
          <w:szCs w:val="20"/>
          <w:lang w:val="fr-FR"/>
        </w:rPr>
        <w:t>’</w:t>
      </w:r>
      <w:r w:rsidRPr="00A86354">
        <w:rPr>
          <w:rFonts w:cs="Arial" w:eastAsiaTheme="majorEastAsia"/>
          <w:sz w:val="20"/>
          <w:szCs w:val="20"/>
          <w:lang w:val="fr-FR"/>
        </w:rPr>
        <w:t>exercer le droit de ne pas être internées sur la base d</w:t>
      </w:r>
      <w:r w:rsidRPr="00A86354" w:rsidR="0006032C">
        <w:rPr>
          <w:rFonts w:cs="Arial" w:eastAsiaTheme="majorEastAsia"/>
          <w:sz w:val="20"/>
          <w:szCs w:val="20"/>
          <w:lang w:val="fr-FR"/>
        </w:rPr>
        <w:t>’</w:t>
      </w:r>
      <w:r w:rsidRPr="00A86354">
        <w:rPr>
          <w:rFonts w:cs="Arial" w:eastAsiaTheme="majorEastAsia"/>
          <w:sz w:val="20"/>
          <w:szCs w:val="20"/>
          <w:lang w:val="fr-FR"/>
        </w:rPr>
        <w:t>un handicap, quel qu</w:t>
      </w:r>
      <w:r w:rsidRPr="00A86354" w:rsidR="0006032C">
        <w:rPr>
          <w:rFonts w:cs="Arial" w:eastAsiaTheme="majorEastAsia"/>
          <w:sz w:val="20"/>
          <w:szCs w:val="20"/>
          <w:lang w:val="fr-FR"/>
        </w:rPr>
        <w:t>’</w:t>
      </w:r>
      <w:r w:rsidRPr="00A86354">
        <w:rPr>
          <w:rFonts w:cs="Arial" w:eastAsiaTheme="majorEastAsia"/>
          <w:sz w:val="20"/>
          <w:szCs w:val="20"/>
          <w:lang w:val="fr-FR"/>
        </w:rPr>
        <w:t>il soit</w:t>
      </w:r>
      <w:r w:rsidRPr="00A86354" w:rsidR="000807D5">
        <w:rPr>
          <w:rFonts w:cs="Arial" w:eastAsiaTheme="majorEastAsia"/>
          <w:sz w:val="20"/>
          <w:szCs w:val="20"/>
          <w:lang w:val="fr-FR"/>
        </w:rPr>
        <w:t> ;</w:t>
      </w:r>
      <w:r w:rsidRPr="00A86354" w:rsidR="00F262E4">
        <w:rPr>
          <w:rFonts w:cs="Arial" w:eastAsiaTheme="majorEastAsia"/>
          <w:sz w:val="20"/>
          <w:szCs w:val="20"/>
          <w:lang w:val="fr-FR"/>
        </w:rPr>
        <w:t xml:space="preserve"> </w:t>
      </w:r>
    </w:p>
    <w:p w:rsidRPr="00A86354" w:rsidR="00F262E4" w:rsidP="00CE016A" w:rsidRDefault="006B09BB" w14:paraId="465AF957" w14:textId="04E5FB28">
      <w:pPr>
        <w:pStyle w:val="ListParagraph"/>
        <w:numPr>
          <w:ilvl w:val="0"/>
          <w:numId w:val="2"/>
        </w:numPr>
        <w:tabs>
          <w:tab w:val="left" w:pos="709"/>
        </w:tabs>
        <w:outlineLvl w:val="0"/>
        <w:rPr>
          <w:rFonts w:cs="Arial" w:eastAsiaTheme="majorEastAsia"/>
          <w:sz w:val="20"/>
          <w:szCs w:val="20"/>
          <w:lang w:val="fr-FR"/>
        </w:rPr>
      </w:pPr>
      <w:r w:rsidRPr="00A86354">
        <w:rPr>
          <w:rFonts w:cs="Arial" w:eastAsiaTheme="majorEastAsia"/>
          <w:sz w:val="20"/>
          <w:szCs w:val="20"/>
          <w:lang w:val="fr-FR"/>
        </w:rPr>
        <w:t>adopter et faire appliquer des lois, des normes et d</w:t>
      </w:r>
      <w:r w:rsidRPr="00A86354" w:rsidR="0006032C">
        <w:rPr>
          <w:rFonts w:cs="Arial" w:eastAsiaTheme="majorEastAsia"/>
          <w:sz w:val="20"/>
          <w:szCs w:val="20"/>
          <w:lang w:val="fr-FR"/>
        </w:rPr>
        <w:t>’</w:t>
      </w:r>
      <w:r w:rsidRPr="00A86354">
        <w:rPr>
          <w:rFonts w:cs="Arial" w:eastAsiaTheme="majorEastAsia"/>
          <w:sz w:val="20"/>
          <w:szCs w:val="20"/>
          <w:lang w:val="fr-FR"/>
        </w:rPr>
        <w:t>autres mesures dans l</w:t>
      </w:r>
      <w:r w:rsidRPr="00A86354" w:rsidR="0006032C">
        <w:rPr>
          <w:rFonts w:cs="Arial" w:eastAsiaTheme="majorEastAsia"/>
          <w:sz w:val="20"/>
          <w:szCs w:val="20"/>
          <w:lang w:val="fr-FR"/>
        </w:rPr>
        <w:t>’</w:t>
      </w:r>
      <w:r w:rsidRPr="00A86354">
        <w:rPr>
          <w:rFonts w:cs="Arial" w:eastAsiaTheme="majorEastAsia"/>
          <w:sz w:val="20"/>
          <w:szCs w:val="20"/>
          <w:lang w:val="fr-FR"/>
        </w:rPr>
        <w:t>optique de rendre les collectivités locales et l</w:t>
      </w:r>
      <w:r w:rsidRPr="00A86354" w:rsidR="0006032C">
        <w:rPr>
          <w:rFonts w:cs="Arial" w:eastAsiaTheme="majorEastAsia"/>
          <w:sz w:val="20"/>
          <w:szCs w:val="20"/>
          <w:lang w:val="fr-FR"/>
        </w:rPr>
        <w:t>’</w:t>
      </w:r>
      <w:r w:rsidRPr="00A86354">
        <w:rPr>
          <w:rFonts w:cs="Arial" w:eastAsiaTheme="majorEastAsia"/>
          <w:sz w:val="20"/>
          <w:szCs w:val="20"/>
          <w:lang w:val="fr-FR"/>
        </w:rPr>
        <w:t>environnement, ainsi que l</w:t>
      </w:r>
      <w:r w:rsidRPr="00A86354" w:rsidR="0006032C">
        <w:rPr>
          <w:rFonts w:cs="Arial" w:eastAsiaTheme="majorEastAsia"/>
          <w:sz w:val="20"/>
          <w:szCs w:val="20"/>
          <w:lang w:val="fr-FR"/>
        </w:rPr>
        <w:t>’</w:t>
      </w:r>
      <w:r w:rsidRPr="00A86354">
        <w:rPr>
          <w:rFonts w:cs="Arial" w:eastAsiaTheme="majorEastAsia"/>
          <w:sz w:val="20"/>
          <w:szCs w:val="20"/>
          <w:lang w:val="fr-FR"/>
        </w:rPr>
        <w:t>information et la communication, accessibles à toutes les personnes handicapées</w:t>
      </w:r>
      <w:r w:rsidRPr="00A86354" w:rsidR="000807D5">
        <w:rPr>
          <w:rFonts w:cs="Arial" w:eastAsiaTheme="majorEastAsia"/>
          <w:sz w:val="20"/>
          <w:szCs w:val="20"/>
          <w:lang w:val="fr-FR"/>
        </w:rPr>
        <w:t> ;</w:t>
      </w:r>
      <w:r w:rsidRPr="00A86354" w:rsidR="00F262E4">
        <w:rPr>
          <w:rFonts w:cs="Arial" w:eastAsiaTheme="majorEastAsia"/>
          <w:sz w:val="20"/>
          <w:szCs w:val="20"/>
          <w:lang w:val="fr-FR"/>
        </w:rPr>
        <w:t xml:space="preserve"> </w:t>
      </w:r>
    </w:p>
    <w:p w:rsidRPr="00A86354" w:rsidR="00F262E4" w:rsidP="00CE016A" w:rsidRDefault="006B09BB" w14:paraId="6F653F6F" w14:textId="1D89CDE5">
      <w:pPr>
        <w:pStyle w:val="ListParagraph"/>
        <w:numPr>
          <w:ilvl w:val="0"/>
          <w:numId w:val="2"/>
        </w:numPr>
        <w:tabs>
          <w:tab w:val="left" w:pos="709"/>
        </w:tabs>
        <w:outlineLvl w:val="0"/>
        <w:rPr>
          <w:rFonts w:cs="Arial" w:eastAsiaTheme="majorEastAsia"/>
          <w:sz w:val="20"/>
          <w:szCs w:val="20"/>
          <w:lang w:val="fr-FR"/>
        </w:rPr>
      </w:pPr>
      <w:r w:rsidRPr="00A86354">
        <w:rPr>
          <w:rFonts w:cs="Arial" w:eastAsiaTheme="majorEastAsia"/>
          <w:sz w:val="20"/>
          <w:szCs w:val="20"/>
          <w:lang w:val="fr-FR"/>
        </w:rPr>
        <w:t>veiller à ce que les programmes de protection répondent aux besoins des personnes handicapées, dans toute leur diversité et dans des conditions d</w:t>
      </w:r>
      <w:r w:rsidRPr="00A86354" w:rsidR="0006032C">
        <w:rPr>
          <w:rFonts w:cs="Arial" w:eastAsiaTheme="majorEastAsia"/>
          <w:sz w:val="20"/>
          <w:szCs w:val="20"/>
          <w:lang w:val="fr-FR"/>
        </w:rPr>
        <w:t>’</w:t>
      </w:r>
      <w:r w:rsidRPr="00A86354">
        <w:rPr>
          <w:rFonts w:cs="Arial" w:eastAsiaTheme="majorEastAsia"/>
          <w:sz w:val="20"/>
          <w:szCs w:val="20"/>
          <w:lang w:val="fr-FR"/>
        </w:rPr>
        <w:t>égalité avec les autres</w:t>
      </w:r>
      <w:r w:rsidRPr="00A86354" w:rsidR="000807D5">
        <w:rPr>
          <w:rFonts w:cs="Arial" w:eastAsiaTheme="majorEastAsia"/>
          <w:sz w:val="20"/>
          <w:szCs w:val="20"/>
          <w:lang w:val="fr-FR"/>
        </w:rPr>
        <w:t> ;</w:t>
      </w:r>
      <w:r w:rsidRPr="00A86354" w:rsidR="00F262E4">
        <w:rPr>
          <w:rFonts w:cs="Arial" w:eastAsiaTheme="majorEastAsia"/>
          <w:sz w:val="20"/>
          <w:szCs w:val="20"/>
          <w:lang w:val="fr-FR"/>
        </w:rPr>
        <w:t xml:space="preserve"> </w:t>
      </w:r>
    </w:p>
    <w:p w:rsidRPr="00A86354" w:rsidR="00F262E4" w:rsidP="00CE016A" w:rsidRDefault="006B09BB" w14:paraId="05E671AD" w14:textId="03CBCD21">
      <w:pPr>
        <w:pStyle w:val="ListParagraph"/>
        <w:numPr>
          <w:ilvl w:val="0"/>
          <w:numId w:val="2"/>
        </w:numPr>
        <w:tabs>
          <w:tab w:val="left" w:pos="709"/>
        </w:tabs>
        <w:outlineLvl w:val="0"/>
        <w:rPr>
          <w:rFonts w:cs="Arial" w:eastAsiaTheme="majorEastAsia"/>
          <w:sz w:val="20"/>
          <w:szCs w:val="20"/>
          <w:lang w:val="fr-FR"/>
        </w:rPr>
      </w:pPr>
      <w:r w:rsidRPr="00A86354">
        <w:rPr>
          <w:rFonts w:cs="Arial" w:eastAsiaTheme="majorEastAsia"/>
          <w:sz w:val="20"/>
          <w:szCs w:val="20"/>
          <w:lang w:val="fr-FR"/>
        </w:rPr>
        <w:t>inscrire le principe de la conception universelle, tant pour les espaces physiques que pour les espaces virtuels, dans les politiques, les lois, les normes et les autres dispositions</w:t>
      </w:r>
      <w:r w:rsidRPr="00A86354" w:rsidR="00656FDF">
        <w:rPr>
          <w:rFonts w:cs="Arial" w:eastAsiaTheme="majorEastAsia"/>
          <w:sz w:val="20"/>
          <w:szCs w:val="20"/>
          <w:lang w:val="fr-FR"/>
        </w:rPr>
        <w:t> </w:t>
      </w:r>
      <w:r w:rsidRPr="00A86354" w:rsidR="00F262E4">
        <w:rPr>
          <w:rFonts w:cs="Arial" w:eastAsiaTheme="majorEastAsia"/>
          <w:sz w:val="20"/>
          <w:szCs w:val="20"/>
          <w:lang w:val="fr-FR"/>
        </w:rPr>
        <w:t xml:space="preserve">; </w:t>
      </w:r>
    </w:p>
    <w:p w:rsidRPr="00A86354" w:rsidR="00F262E4" w:rsidP="00CE016A" w:rsidRDefault="006B09BB" w14:paraId="504C0F1E" w14:textId="6DB2EA1A">
      <w:pPr>
        <w:pStyle w:val="ListParagraph"/>
        <w:numPr>
          <w:ilvl w:val="0"/>
          <w:numId w:val="2"/>
        </w:numPr>
        <w:tabs>
          <w:tab w:val="left" w:pos="709"/>
        </w:tabs>
        <w:outlineLvl w:val="0"/>
        <w:rPr>
          <w:rFonts w:cs="Arial" w:eastAsiaTheme="majorEastAsia"/>
          <w:sz w:val="20"/>
          <w:szCs w:val="20"/>
          <w:lang w:val="fr-FR"/>
        </w:rPr>
      </w:pPr>
      <w:r w:rsidRPr="00A86354">
        <w:rPr>
          <w:rFonts w:cs="Arial" w:eastAsiaTheme="majorEastAsia"/>
          <w:sz w:val="20"/>
          <w:szCs w:val="20"/>
          <w:lang w:val="fr-FR"/>
        </w:rPr>
        <w:t>informer les personnes handicapées de leur droit de vivre de façon autonome et d</w:t>
      </w:r>
      <w:r w:rsidRPr="00A86354" w:rsidR="0006032C">
        <w:rPr>
          <w:rFonts w:cs="Arial" w:eastAsiaTheme="majorEastAsia"/>
          <w:sz w:val="20"/>
          <w:szCs w:val="20"/>
          <w:lang w:val="fr-FR"/>
        </w:rPr>
        <w:t>’</w:t>
      </w:r>
      <w:r w:rsidRPr="00A86354">
        <w:rPr>
          <w:rFonts w:cs="Arial" w:eastAsiaTheme="majorEastAsia"/>
          <w:sz w:val="20"/>
          <w:szCs w:val="20"/>
          <w:lang w:val="fr-FR"/>
        </w:rPr>
        <w:t>être incluses dans la société, et offrir à ces personnes des programmes de formation sur leurs droits</w:t>
      </w:r>
      <w:r w:rsidRPr="00A86354" w:rsidR="000807D5">
        <w:rPr>
          <w:rFonts w:cs="Arial" w:eastAsiaTheme="majorEastAsia"/>
          <w:sz w:val="20"/>
          <w:szCs w:val="20"/>
          <w:lang w:val="fr-FR"/>
        </w:rPr>
        <w:t> ;</w:t>
      </w:r>
      <w:r w:rsidRPr="00A86354" w:rsidR="00F262E4">
        <w:rPr>
          <w:rFonts w:cs="Arial" w:eastAsiaTheme="majorEastAsia"/>
          <w:sz w:val="20"/>
          <w:szCs w:val="20"/>
          <w:lang w:val="fr-FR"/>
        </w:rPr>
        <w:t xml:space="preserve"> </w:t>
      </w:r>
    </w:p>
    <w:p w:rsidRPr="00A86354" w:rsidR="00F262E4" w:rsidP="00CE016A" w:rsidRDefault="006B09BB" w14:paraId="3AD92B8F" w14:textId="1D93E4A0">
      <w:pPr>
        <w:pStyle w:val="ListParagraph"/>
        <w:numPr>
          <w:ilvl w:val="0"/>
          <w:numId w:val="2"/>
        </w:numPr>
        <w:tabs>
          <w:tab w:val="left" w:pos="709"/>
        </w:tabs>
        <w:outlineLvl w:val="0"/>
        <w:rPr>
          <w:rFonts w:cs="Arial" w:eastAsiaTheme="majorEastAsia"/>
          <w:sz w:val="20"/>
          <w:szCs w:val="20"/>
          <w:lang w:val="fr-FR"/>
        </w:rPr>
      </w:pPr>
      <w:r w:rsidRPr="00A86354">
        <w:rPr>
          <w:rFonts w:cs="Arial" w:eastAsiaTheme="majorEastAsia"/>
          <w:sz w:val="20"/>
          <w:szCs w:val="20"/>
          <w:lang w:val="fr-FR"/>
        </w:rPr>
        <w:t xml:space="preserve">adopter des stratégies claires et ciblées en faveur de la </w:t>
      </w:r>
      <w:r w:rsidRPr="00A86354" w:rsidR="008532B8">
        <w:rPr>
          <w:rFonts w:cs="Arial" w:eastAsiaTheme="majorEastAsia"/>
          <w:sz w:val="20"/>
          <w:szCs w:val="20"/>
          <w:lang w:val="fr-FR"/>
        </w:rPr>
        <w:t>désinstitutionalisation</w:t>
      </w:r>
      <w:r w:rsidRPr="00A86354">
        <w:rPr>
          <w:rFonts w:cs="Arial" w:eastAsiaTheme="majorEastAsia"/>
          <w:sz w:val="20"/>
          <w:szCs w:val="20"/>
          <w:lang w:val="fr-FR"/>
        </w:rPr>
        <w:t>, assorties de calendriers précis et de budgets appropriés, afin d</w:t>
      </w:r>
      <w:r w:rsidRPr="00A86354" w:rsidR="0006032C">
        <w:rPr>
          <w:rFonts w:cs="Arial" w:eastAsiaTheme="majorEastAsia"/>
          <w:sz w:val="20"/>
          <w:szCs w:val="20"/>
          <w:lang w:val="fr-FR"/>
        </w:rPr>
        <w:t>’</w:t>
      </w:r>
      <w:r w:rsidRPr="00A86354">
        <w:rPr>
          <w:rFonts w:cs="Arial" w:eastAsiaTheme="majorEastAsia"/>
          <w:sz w:val="20"/>
          <w:szCs w:val="20"/>
          <w:lang w:val="fr-FR"/>
        </w:rPr>
        <w:t>éliminer toutes les formes d</w:t>
      </w:r>
      <w:r w:rsidRPr="00A86354" w:rsidR="0006032C">
        <w:rPr>
          <w:rFonts w:cs="Arial" w:eastAsiaTheme="majorEastAsia"/>
          <w:sz w:val="20"/>
          <w:szCs w:val="20"/>
          <w:lang w:val="fr-FR"/>
        </w:rPr>
        <w:t>’</w:t>
      </w:r>
      <w:r w:rsidRPr="00A86354">
        <w:rPr>
          <w:rFonts w:cs="Arial" w:eastAsiaTheme="majorEastAsia"/>
          <w:sz w:val="20"/>
          <w:szCs w:val="20"/>
          <w:lang w:val="fr-FR"/>
        </w:rPr>
        <w:t>isolement</w:t>
      </w:r>
      <w:r w:rsidRPr="00A86354" w:rsidR="000807D5">
        <w:rPr>
          <w:rFonts w:cs="Arial" w:eastAsiaTheme="majorEastAsia"/>
          <w:sz w:val="20"/>
          <w:szCs w:val="20"/>
          <w:lang w:val="fr-FR"/>
        </w:rPr>
        <w:t> ;</w:t>
      </w:r>
      <w:r w:rsidRPr="00A86354" w:rsidR="00F262E4">
        <w:rPr>
          <w:rFonts w:cs="Arial" w:eastAsiaTheme="majorEastAsia"/>
          <w:sz w:val="20"/>
          <w:szCs w:val="20"/>
          <w:lang w:val="fr-FR"/>
        </w:rPr>
        <w:t xml:space="preserve">  </w:t>
      </w:r>
    </w:p>
    <w:p w:rsidRPr="00A86354" w:rsidR="00F262E4" w:rsidP="00CE016A" w:rsidRDefault="00444BD8" w14:paraId="2EAD1C94" w14:textId="2010A8B8">
      <w:pPr>
        <w:pStyle w:val="ListParagraph"/>
        <w:numPr>
          <w:ilvl w:val="0"/>
          <w:numId w:val="2"/>
        </w:numPr>
        <w:tabs>
          <w:tab w:val="left" w:pos="709"/>
        </w:tabs>
        <w:outlineLvl w:val="0"/>
        <w:rPr>
          <w:rFonts w:cs="Arial" w:eastAsiaTheme="majorEastAsia"/>
          <w:sz w:val="20"/>
          <w:szCs w:val="20"/>
          <w:lang w:val="fr-FR"/>
        </w:rPr>
      </w:pPr>
      <w:r w:rsidRPr="00A86354">
        <w:rPr>
          <w:rFonts w:cs="Arial" w:eastAsiaTheme="majorEastAsia"/>
          <w:sz w:val="20"/>
          <w:szCs w:val="20"/>
          <w:lang w:val="fr-FR"/>
        </w:rPr>
        <w:t>mettre sur pied des programmes de sensibilisation qui s</w:t>
      </w:r>
      <w:r w:rsidRPr="00A86354" w:rsidR="0006032C">
        <w:rPr>
          <w:rFonts w:cs="Arial" w:eastAsiaTheme="majorEastAsia"/>
          <w:sz w:val="20"/>
          <w:szCs w:val="20"/>
          <w:lang w:val="fr-FR"/>
        </w:rPr>
        <w:t>’</w:t>
      </w:r>
      <w:r w:rsidRPr="00A86354">
        <w:rPr>
          <w:rFonts w:cs="Arial" w:eastAsiaTheme="majorEastAsia"/>
          <w:sz w:val="20"/>
          <w:szCs w:val="20"/>
          <w:lang w:val="fr-FR"/>
        </w:rPr>
        <w:t>attaquent aux comportements et stéréotypes négatifs à l</w:t>
      </w:r>
      <w:r w:rsidRPr="00A86354" w:rsidR="0006032C">
        <w:rPr>
          <w:rFonts w:cs="Arial" w:eastAsiaTheme="majorEastAsia"/>
          <w:sz w:val="20"/>
          <w:szCs w:val="20"/>
          <w:lang w:val="fr-FR"/>
        </w:rPr>
        <w:t>’</w:t>
      </w:r>
      <w:r w:rsidRPr="00A86354">
        <w:rPr>
          <w:rFonts w:cs="Arial" w:eastAsiaTheme="majorEastAsia"/>
          <w:sz w:val="20"/>
          <w:szCs w:val="20"/>
          <w:lang w:val="fr-FR"/>
        </w:rPr>
        <w:t>égard des personnes handicapées</w:t>
      </w:r>
      <w:r w:rsidRPr="00A86354" w:rsidR="000807D5">
        <w:rPr>
          <w:rFonts w:cs="Arial" w:eastAsiaTheme="majorEastAsia"/>
          <w:sz w:val="20"/>
          <w:szCs w:val="20"/>
          <w:lang w:val="fr-FR"/>
        </w:rPr>
        <w:t> ;</w:t>
      </w:r>
      <w:r w:rsidRPr="00A86354" w:rsidR="00F262E4">
        <w:rPr>
          <w:rFonts w:cs="Arial" w:eastAsiaTheme="majorEastAsia"/>
          <w:sz w:val="20"/>
          <w:szCs w:val="20"/>
          <w:lang w:val="fr-FR"/>
        </w:rPr>
        <w:t xml:space="preserve"> </w:t>
      </w:r>
    </w:p>
    <w:p w:rsidRPr="00A86354" w:rsidR="00F262E4" w:rsidP="00CE016A" w:rsidRDefault="00444BD8" w14:paraId="7E54DF1B" w14:textId="45E0FE73">
      <w:pPr>
        <w:pStyle w:val="ListParagraph"/>
        <w:numPr>
          <w:ilvl w:val="0"/>
          <w:numId w:val="2"/>
        </w:numPr>
        <w:tabs>
          <w:tab w:val="left" w:pos="709"/>
        </w:tabs>
        <w:outlineLvl w:val="0"/>
        <w:rPr>
          <w:rFonts w:cs="Arial" w:eastAsiaTheme="majorEastAsia"/>
          <w:sz w:val="20"/>
          <w:szCs w:val="20"/>
          <w:lang w:val="fr-FR"/>
        </w:rPr>
      </w:pPr>
      <w:r w:rsidRPr="00A86354">
        <w:rPr>
          <w:rFonts w:cs="Arial" w:eastAsiaTheme="majorEastAsia"/>
          <w:sz w:val="20"/>
          <w:szCs w:val="20"/>
          <w:lang w:val="fr-FR"/>
        </w:rPr>
        <w:t>concevoir des politiques et dispositions législatives complètes et allouer des ressources financières pour la construction de logements accessibles et d</w:t>
      </w:r>
      <w:r w:rsidRPr="00A86354" w:rsidR="0006032C">
        <w:rPr>
          <w:rFonts w:cs="Arial" w:eastAsiaTheme="majorEastAsia"/>
          <w:sz w:val="20"/>
          <w:szCs w:val="20"/>
          <w:lang w:val="fr-FR"/>
        </w:rPr>
        <w:t>’</w:t>
      </w:r>
      <w:r w:rsidRPr="00A86354">
        <w:rPr>
          <w:rFonts w:cs="Arial" w:eastAsiaTheme="majorEastAsia"/>
          <w:sz w:val="20"/>
          <w:szCs w:val="20"/>
          <w:lang w:val="fr-FR"/>
        </w:rPr>
        <w:t>un coût abordable, l</w:t>
      </w:r>
      <w:r w:rsidRPr="00A86354" w:rsidR="0006032C">
        <w:rPr>
          <w:rFonts w:cs="Arial" w:eastAsiaTheme="majorEastAsia"/>
          <w:sz w:val="20"/>
          <w:szCs w:val="20"/>
          <w:lang w:val="fr-FR"/>
        </w:rPr>
        <w:t>’</w:t>
      </w:r>
      <w:r w:rsidRPr="00A86354">
        <w:rPr>
          <w:rFonts w:cs="Arial" w:eastAsiaTheme="majorEastAsia"/>
          <w:sz w:val="20"/>
          <w:szCs w:val="20"/>
          <w:lang w:val="fr-FR"/>
        </w:rPr>
        <w:t>environnement bâti, les espaces publics et les transports, qui soient assorties d</w:t>
      </w:r>
      <w:r w:rsidRPr="00A86354" w:rsidR="0006032C">
        <w:rPr>
          <w:rFonts w:cs="Arial" w:eastAsiaTheme="majorEastAsia"/>
          <w:sz w:val="20"/>
          <w:szCs w:val="20"/>
          <w:lang w:val="fr-FR"/>
        </w:rPr>
        <w:t>’</w:t>
      </w:r>
      <w:r w:rsidRPr="00A86354">
        <w:rPr>
          <w:rFonts w:cs="Arial" w:eastAsiaTheme="majorEastAsia"/>
          <w:sz w:val="20"/>
          <w:szCs w:val="20"/>
          <w:lang w:val="fr-FR"/>
        </w:rPr>
        <w:t>un calendrier approprié pour leur mise en œuvre, et prévoir des sanctions efficaces, dissuasives et proportionnées en cas de violation de ces politiques et dispositions par des autorités publiques ou privées</w:t>
      </w:r>
      <w:r w:rsidRPr="00A86354" w:rsidR="000807D5">
        <w:rPr>
          <w:rFonts w:cs="Arial" w:eastAsiaTheme="majorEastAsia"/>
          <w:sz w:val="20"/>
          <w:szCs w:val="20"/>
          <w:lang w:val="fr-FR"/>
        </w:rPr>
        <w:t> ;</w:t>
      </w:r>
      <w:r w:rsidRPr="00A86354" w:rsidR="00F262E4">
        <w:rPr>
          <w:rFonts w:cs="Arial" w:eastAsiaTheme="majorEastAsia"/>
          <w:sz w:val="20"/>
          <w:szCs w:val="20"/>
          <w:lang w:val="fr-FR"/>
        </w:rPr>
        <w:t xml:space="preserve"> </w:t>
      </w:r>
    </w:p>
    <w:p w:rsidRPr="00A86354" w:rsidR="00F262E4" w:rsidP="00CE016A" w:rsidRDefault="003C1166" w14:paraId="502FCCEF" w14:textId="644F7E93">
      <w:pPr>
        <w:pStyle w:val="ListParagraph"/>
        <w:numPr>
          <w:ilvl w:val="0"/>
          <w:numId w:val="2"/>
        </w:numPr>
        <w:tabs>
          <w:tab w:val="left" w:pos="709"/>
        </w:tabs>
        <w:outlineLvl w:val="0"/>
        <w:rPr>
          <w:rFonts w:cs="Arial" w:eastAsiaTheme="majorEastAsia"/>
          <w:sz w:val="20"/>
          <w:szCs w:val="20"/>
          <w:lang w:val="fr-FR"/>
        </w:rPr>
      </w:pPr>
      <w:r w:rsidRPr="00A86354">
        <w:rPr>
          <w:rFonts w:cs="Arial" w:eastAsiaTheme="majorEastAsia"/>
          <w:sz w:val="20"/>
          <w:szCs w:val="20"/>
          <w:lang w:val="fr-FR"/>
        </w:rPr>
        <w:t>allouer des ressources à la mise au point de services d</w:t>
      </w:r>
      <w:r w:rsidRPr="00A86354" w:rsidR="0006032C">
        <w:rPr>
          <w:rFonts w:cs="Arial" w:eastAsiaTheme="majorEastAsia"/>
          <w:sz w:val="20"/>
          <w:szCs w:val="20"/>
          <w:lang w:val="fr-FR"/>
        </w:rPr>
        <w:t>’</w:t>
      </w:r>
      <w:r w:rsidRPr="00A86354">
        <w:rPr>
          <w:rFonts w:cs="Arial" w:eastAsiaTheme="majorEastAsia"/>
          <w:sz w:val="20"/>
          <w:szCs w:val="20"/>
          <w:lang w:val="fr-FR"/>
        </w:rPr>
        <w:t>appui appropriés et suffisants, orientés vers la personne ou pilotés par l</w:t>
      </w:r>
      <w:r w:rsidRPr="00A86354" w:rsidR="0006032C">
        <w:rPr>
          <w:rFonts w:cs="Arial" w:eastAsiaTheme="majorEastAsia"/>
          <w:sz w:val="20"/>
          <w:szCs w:val="20"/>
          <w:lang w:val="fr-FR"/>
        </w:rPr>
        <w:t>’</w:t>
      </w:r>
      <w:r w:rsidRPr="00A86354">
        <w:rPr>
          <w:rFonts w:cs="Arial" w:eastAsiaTheme="majorEastAsia"/>
          <w:sz w:val="20"/>
          <w:szCs w:val="20"/>
          <w:lang w:val="fr-FR"/>
        </w:rPr>
        <w:t>utilisateur et autogérés, pour toutes les personnes handicapées, sous la forme notamment d</w:t>
      </w:r>
      <w:r w:rsidRPr="00A86354" w:rsidR="0006032C">
        <w:rPr>
          <w:rFonts w:cs="Arial" w:eastAsiaTheme="majorEastAsia"/>
          <w:sz w:val="20"/>
          <w:szCs w:val="20"/>
          <w:lang w:val="fr-FR"/>
        </w:rPr>
        <w:t>’</w:t>
      </w:r>
      <w:r w:rsidRPr="00A86354">
        <w:rPr>
          <w:rFonts w:cs="Arial" w:eastAsiaTheme="majorEastAsia"/>
          <w:sz w:val="20"/>
          <w:szCs w:val="20"/>
          <w:lang w:val="fr-FR"/>
        </w:rPr>
        <w:t>une assistance personnelle, de guides, de lecteurs ou encore d</w:t>
      </w:r>
      <w:r w:rsidRPr="00A86354" w:rsidR="0006032C">
        <w:rPr>
          <w:rFonts w:cs="Arial" w:eastAsiaTheme="majorEastAsia"/>
          <w:sz w:val="20"/>
          <w:szCs w:val="20"/>
          <w:lang w:val="fr-FR"/>
        </w:rPr>
        <w:t>’</w:t>
      </w:r>
      <w:r w:rsidRPr="00A86354">
        <w:rPr>
          <w:rFonts w:cs="Arial" w:eastAsiaTheme="majorEastAsia"/>
          <w:sz w:val="20"/>
          <w:szCs w:val="20"/>
          <w:lang w:val="fr-FR"/>
        </w:rPr>
        <w:t>interprètes en langue des signes ou autres interprètes professionnels compétents.</w:t>
      </w:r>
      <w:r w:rsidRPr="00A86354" w:rsidR="00F262E4">
        <w:rPr>
          <w:rFonts w:cs="Arial" w:eastAsiaTheme="majorEastAsia"/>
          <w:sz w:val="20"/>
          <w:szCs w:val="20"/>
          <w:lang w:val="fr-FR"/>
        </w:rPr>
        <w:t xml:space="preserve">   </w:t>
      </w:r>
    </w:p>
    <w:p w:rsidRPr="00A86354" w:rsidR="004B0143" w:rsidP="00656FDF" w:rsidRDefault="004B0143" w14:paraId="2337D178" w14:textId="44F7D15D">
      <w:pPr>
        <w:tabs>
          <w:tab w:val="left" w:pos="709"/>
        </w:tabs>
        <w:outlineLvl w:val="0"/>
        <w:rPr>
          <w:rFonts w:ascii="Arial" w:hAnsi="Arial" w:cs="Arial" w:eastAsiaTheme="majorEastAsia"/>
          <w:b/>
          <w:bCs/>
          <w:szCs w:val="28"/>
          <w:lang w:val="fr-FR"/>
        </w:rPr>
      </w:pPr>
    </w:p>
    <w:p w:rsidRPr="00A86354" w:rsidR="009B49C3" w:rsidP="00656FDF" w:rsidRDefault="009B49C3" w14:paraId="7227AED4" w14:textId="54286DF1">
      <w:pPr>
        <w:tabs>
          <w:tab w:val="left" w:pos="709"/>
        </w:tabs>
        <w:outlineLvl w:val="0"/>
        <w:rPr>
          <w:rFonts w:ascii="Arial" w:hAnsi="Arial" w:cs="Arial" w:eastAsiaTheme="majorEastAsia"/>
          <w:b/>
          <w:bCs/>
          <w:szCs w:val="28"/>
          <w:lang w:val="fr-FR"/>
        </w:rPr>
      </w:pPr>
      <w:r w:rsidRPr="00A86354">
        <w:rPr>
          <w:rFonts w:ascii="Arial" w:hAnsi="Arial" w:cs="Arial" w:eastAsiaTheme="majorEastAsia"/>
          <w:b/>
          <w:bCs/>
          <w:szCs w:val="28"/>
          <w:lang w:val="fr-FR"/>
        </w:rPr>
        <w:t>Rapporteu</w:t>
      </w:r>
      <w:r w:rsidRPr="00A86354" w:rsidR="00F11691">
        <w:rPr>
          <w:rFonts w:ascii="Arial" w:hAnsi="Arial" w:cs="Arial" w:eastAsiaTheme="majorEastAsia"/>
          <w:b/>
          <w:bCs/>
          <w:szCs w:val="28"/>
          <w:lang w:val="fr-FR"/>
        </w:rPr>
        <w:t>s</w:t>
      </w:r>
      <w:r w:rsidRPr="00A86354" w:rsidR="00BF085D">
        <w:rPr>
          <w:rFonts w:ascii="Arial" w:hAnsi="Arial" w:cs="Arial" w:eastAsiaTheme="majorEastAsia"/>
          <w:b/>
          <w:bCs/>
          <w:szCs w:val="28"/>
          <w:lang w:val="fr-FR"/>
        </w:rPr>
        <w:t>e spéciale des Nations Unies sur les droits des personnes handicapées</w:t>
      </w:r>
      <w:r w:rsidRPr="00A86354">
        <w:rPr>
          <w:rFonts w:ascii="Arial" w:hAnsi="Arial" w:cs="Arial" w:eastAsiaTheme="majorEastAsia"/>
          <w:b/>
          <w:bCs/>
          <w:szCs w:val="28"/>
          <w:lang w:val="fr-FR"/>
        </w:rPr>
        <w:t xml:space="preserve"> </w:t>
      </w:r>
    </w:p>
    <w:p w:rsidRPr="00A86354" w:rsidR="009B49C3" w:rsidP="00656FDF" w:rsidRDefault="009B49C3" w14:paraId="5D9C0C05" w14:textId="77777777">
      <w:pPr>
        <w:tabs>
          <w:tab w:val="left" w:pos="709"/>
        </w:tabs>
        <w:outlineLvl w:val="0"/>
        <w:rPr>
          <w:rFonts w:ascii="Arial" w:hAnsi="Arial" w:cs="Arial" w:eastAsiaTheme="majorEastAsia"/>
          <w:b/>
          <w:bCs/>
          <w:szCs w:val="28"/>
          <w:lang w:val="fr-FR"/>
        </w:rPr>
      </w:pPr>
    </w:p>
    <w:p w:rsidRPr="00A86354" w:rsidR="009B49C3" w:rsidP="00CE016A" w:rsidRDefault="00BF085D" w14:paraId="286CF2C1" w14:textId="1E336183">
      <w:pPr>
        <w:pStyle w:val="ListParagraph"/>
        <w:numPr>
          <w:ilvl w:val="0"/>
          <w:numId w:val="1"/>
        </w:numPr>
        <w:tabs>
          <w:tab w:val="left" w:pos="709"/>
        </w:tabs>
        <w:ind w:left="0" w:firstLine="0"/>
        <w:outlineLvl w:val="0"/>
        <w:rPr>
          <w:rFonts w:cs="Arial" w:eastAsiaTheme="majorEastAsia"/>
          <w:b/>
          <w:bCs/>
          <w:szCs w:val="28"/>
          <w:lang w:val="fr-FR"/>
        </w:rPr>
      </w:pPr>
      <w:r w:rsidRPr="00A86354">
        <w:rPr>
          <w:rFonts w:cs="Arial" w:eastAsiaTheme="majorEastAsia"/>
          <w:szCs w:val="28"/>
          <w:lang w:val="fr-FR"/>
        </w:rPr>
        <w:t>Dans son rapport du</w:t>
      </w:r>
      <w:r w:rsidRPr="00A86354" w:rsidR="00381ED7">
        <w:rPr>
          <w:rFonts w:cs="Arial" w:eastAsiaTheme="majorEastAsia"/>
          <w:szCs w:val="28"/>
          <w:lang w:val="fr-FR"/>
        </w:rPr>
        <w:t xml:space="preserve"> 8 </w:t>
      </w:r>
      <w:r w:rsidRPr="00A86354">
        <w:rPr>
          <w:rFonts w:cs="Arial" w:eastAsiaTheme="majorEastAsia"/>
          <w:szCs w:val="28"/>
          <w:lang w:val="fr-FR"/>
        </w:rPr>
        <w:t>janvier</w:t>
      </w:r>
      <w:r w:rsidRPr="00A86354" w:rsidR="00381ED7">
        <w:rPr>
          <w:rFonts w:cs="Arial" w:eastAsiaTheme="majorEastAsia"/>
          <w:szCs w:val="28"/>
          <w:lang w:val="fr-FR"/>
        </w:rPr>
        <w:t xml:space="preserve"> 2019 (A/HRC/40/54/Add.1) </w:t>
      </w:r>
      <w:r w:rsidRPr="00A86354">
        <w:rPr>
          <w:rFonts w:cs="Arial" w:eastAsiaTheme="majorEastAsia"/>
          <w:szCs w:val="28"/>
          <w:lang w:val="fr-FR"/>
        </w:rPr>
        <w:t>à la suite de sa visite en</w:t>
      </w:r>
      <w:r w:rsidRPr="00A86354" w:rsidR="00381ED7">
        <w:rPr>
          <w:rFonts w:cs="Arial" w:eastAsiaTheme="majorEastAsia"/>
          <w:szCs w:val="28"/>
          <w:lang w:val="fr-FR"/>
        </w:rPr>
        <w:t xml:space="preserve"> France </w:t>
      </w:r>
      <w:r w:rsidRPr="00A86354">
        <w:rPr>
          <w:rFonts w:cs="Arial" w:eastAsiaTheme="majorEastAsia"/>
          <w:szCs w:val="28"/>
          <w:lang w:val="fr-FR"/>
        </w:rPr>
        <w:t>du</w:t>
      </w:r>
      <w:r w:rsidRPr="00A86354" w:rsidR="00381ED7">
        <w:rPr>
          <w:rFonts w:cs="Arial" w:eastAsiaTheme="majorEastAsia"/>
          <w:szCs w:val="28"/>
          <w:lang w:val="fr-FR"/>
        </w:rPr>
        <w:t xml:space="preserve"> 3 </w:t>
      </w:r>
      <w:r w:rsidRPr="00A86354">
        <w:rPr>
          <w:rFonts w:cs="Arial" w:eastAsiaTheme="majorEastAsia"/>
          <w:szCs w:val="28"/>
          <w:lang w:val="fr-FR"/>
        </w:rPr>
        <w:t>au</w:t>
      </w:r>
      <w:r w:rsidRPr="00A86354" w:rsidR="00381ED7">
        <w:rPr>
          <w:rFonts w:cs="Arial" w:eastAsiaTheme="majorEastAsia"/>
          <w:szCs w:val="28"/>
          <w:lang w:val="fr-FR"/>
        </w:rPr>
        <w:t xml:space="preserve"> 13 </w:t>
      </w:r>
      <w:r w:rsidRPr="00A86354">
        <w:rPr>
          <w:rFonts w:cs="Arial" w:eastAsiaTheme="majorEastAsia"/>
          <w:szCs w:val="28"/>
          <w:lang w:val="fr-FR"/>
        </w:rPr>
        <w:t>octobre</w:t>
      </w:r>
      <w:r w:rsidRPr="00A86354" w:rsidR="00381ED7">
        <w:rPr>
          <w:rFonts w:cs="Arial" w:eastAsiaTheme="majorEastAsia"/>
          <w:szCs w:val="28"/>
          <w:lang w:val="fr-FR"/>
        </w:rPr>
        <w:t xml:space="preserve"> 2017</w:t>
      </w:r>
      <w:r w:rsidRPr="00A86354" w:rsidR="00DD0181">
        <w:rPr>
          <w:rFonts w:cs="Arial" w:eastAsiaTheme="majorEastAsia"/>
          <w:szCs w:val="28"/>
          <w:lang w:val="fr-FR"/>
        </w:rPr>
        <w:t xml:space="preserve"> (</w:t>
      </w:r>
      <w:r w:rsidRPr="00A86354">
        <w:rPr>
          <w:rFonts w:cs="Arial" w:eastAsiaTheme="majorEastAsia"/>
          <w:szCs w:val="28"/>
          <w:lang w:val="fr-FR"/>
        </w:rPr>
        <w:t xml:space="preserve">rapport </w:t>
      </w:r>
      <w:r w:rsidRPr="00A86354" w:rsidR="00DD0181">
        <w:rPr>
          <w:rFonts w:cs="Arial" w:eastAsiaTheme="majorEastAsia"/>
          <w:szCs w:val="28"/>
          <w:lang w:val="fr-FR"/>
        </w:rPr>
        <w:t>2019)</w:t>
      </w:r>
      <w:r w:rsidRPr="00A86354" w:rsidR="00381ED7">
        <w:rPr>
          <w:rFonts w:cs="Arial" w:eastAsiaTheme="majorEastAsia"/>
          <w:szCs w:val="28"/>
          <w:lang w:val="fr-FR"/>
        </w:rPr>
        <w:t xml:space="preserve">, </w:t>
      </w:r>
      <w:r w:rsidRPr="00A86354">
        <w:rPr>
          <w:rFonts w:cs="Arial" w:eastAsiaTheme="majorEastAsia"/>
          <w:szCs w:val="28"/>
          <w:lang w:val="fr-FR"/>
        </w:rPr>
        <w:t>la Rapporteu</w:t>
      </w:r>
      <w:r w:rsidRPr="00A86354" w:rsidR="00F11691">
        <w:rPr>
          <w:rFonts w:cs="Arial" w:eastAsiaTheme="majorEastAsia"/>
          <w:szCs w:val="28"/>
          <w:lang w:val="fr-FR"/>
        </w:rPr>
        <w:t>s</w:t>
      </w:r>
      <w:r w:rsidRPr="00A86354">
        <w:rPr>
          <w:rFonts w:cs="Arial" w:eastAsiaTheme="majorEastAsia"/>
          <w:szCs w:val="28"/>
          <w:lang w:val="fr-FR"/>
        </w:rPr>
        <w:t>e spéciale des Nations Unies sur les droits des personnes handicapées</w:t>
      </w:r>
      <w:r w:rsidRPr="00A86354" w:rsidR="00381ED7">
        <w:rPr>
          <w:rFonts w:cs="Arial" w:eastAsiaTheme="majorEastAsia"/>
          <w:szCs w:val="28"/>
          <w:lang w:val="fr-FR"/>
        </w:rPr>
        <w:t xml:space="preserve"> </w:t>
      </w:r>
      <w:r w:rsidRPr="00A86354">
        <w:rPr>
          <w:rFonts w:cs="Arial" w:eastAsiaTheme="majorEastAsia"/>
          <w:szCs w:val="28"/>
          <w:lang w:val="fr-FR"/>
        </w:rPr>
        <w:t>a formulé un certain nombre de</w:t>
      </w:r>
      <w:r w:rsidRPr="00A86354" w:rsidR="00381ED7">
        <w:rPr>
          <w:rFonts w:cs="Arial" w:eastAsiaTheme="majorEastAsia"/>
          <w:szCs w:val="28"/>
          <w:lang w:val="fr-FR"/>
        </w:rPr>
        <w:t xml:space="preserve"> </w:t>
      </w:r>
      <w:r w:rsidRPr="00A86354">
        <w:rPr>
          <w:rFonts w:cs="Arial" w:eastAsiaTheme="majorEastAsia"/>
          <w:szCs w:val="28"/>
          <w:lang w:val="fr-FR"/>
        </w:rPr>
        <w:t>recommandations</w:t>
      </w:r>
      <w:r w:rsidRPr="00A86354" w:rsidR="00381ED7">
        <w:rPr>
          <w:rFonts w:cs="Arial" w:eastAsiaTheme="majorEastAsia"/>
          <w:szCs w:val="28"/>
          <w:lang w:val="fr-FR"/>
        </w:rPr>
        <w:t xml:space="preserve"> </w:t>
      </w:r>
      <w:r w:rsidRPr="00A86354">
        <w:rPr>
          <w:rFonts w:cs="Arial" w:eastAsiaTheme="majorEastAsia"/>
          <w:szCs w:val="28"/>
          <w:lang w:val="fr-FR"/>
        </w:rPr>
        <w:t xml:space="preserve">pour aider le </w:t>
      </w:r>
      <w:r w:rsidRPr="00A86354" w:rsidR="00AE34AC">
        <w:rPr>
          <w:rFonts w:cs="Arial" w:eastAsiaTheme="majorEastAsia"/>
          <w:szCs w:val="28"/>
          <w:lang w:val="fr-FR"/>
        </w:rPr>
        <w:t>Gouvernement</w:t>
      </w:r>
      <w:r w:rsidRPr="00A86354">
        <w:rPr>
          <w:rFonts w:cs="Arial" w:eastAsiaTheme="majorEastAsia"/>
          <w:szCs w:val="28"/>
          <w:lang w:val="fr-FR"/>
        </w:rPr>
        <w:t xml:space="preserve"> à transformer la société française et à offrir des réponses et des solutions inclusives à toutes les personnes handicapées sur la base de l</w:t>
      </w:r>
      <w:r w:rsidRPr="00A86354" w:rsidR="0006032C">
        <w:rPr>
          <w:rFonts w:cs="Arial" w:eastAsiaTheme="majorEastAsia"/>
          <w:szCs w:val="28"/>
          <w:lang w:val="fr-FR"/>
        </w:rPr>
        <w:t>’</w:t>
      </w:r>
      <w:r w:rsidRPr="00A86354">
        <w:rPr>
          <w:rFonts w:cs="Arial" w:eastAsiaTheme="majorEastAsia"/>
          <w:szCs w:val="28"/>
          <w:lang w:val="fr-FR"/>
        </w:rPr>
        <w:t>égalité avec les autres</w:t>
      </w:r>
      <w:r w:rsidRPr="00A86354" w:rsidR="000807D5">
        <w:rPr>
          <w:rFonts w:cs="Arial" w:eastAsiaTheme="majorEastAsia"/>
          <w:szCs w:val="28"/>
          <w:lang w:val="fr-FR"/>
        </w:rPr>
        <w:t> :</w:t>
      </w:r>
      <w:r w:rsidRPr="00A86354" w:rsidR="00E3702F">
        <w:rPr>
          <w:rFonts w:cs="Arial" w:eastAsiaTheme="majorEastAsia"/>
          <w:szCs w:val="28"/>
          <w:lang w:val="fr-FR"/>
        </w:rPr>
        <w:t xml:space="preserve"> </w:t>
      </w:r>
      <w:r w:rsidRPr="00A86354" w:rsidR="00381ED7">
        <w:rPr>
          <w:rFonts w:cs="Arial" w:eastAsiaTheme="majorEastAsia"/>
          <w:szCs w:val="28"/>
          <w:lang w:val="fr-FR"/>
        </w:rPr>
        <w:t xml:space="preserve"> </w:t>
      </w:r>
    </w:p>
    <w:p w:rsidRPr="00A86354" w:rsidR="00722D77" w:rsidP="00085E21" w:rsidRDefault="00722D77" w14:paraId="15DE574F" w14:textId="77777777">
      <w:pPr>
        <w:pStyle w:val="Default"/>
        <w:rPr>
          <w:sz w:val="20"/>
          <w:szCs w:val="20"/>
          <w:lang w:val="fr-FR"/>
        </w:rPr>
      </w:pPr>
    </w:p>
    <w:p w:rsidRPr="00A86354" w:rsidR="00085E21" w:rsidP="00DB7D6D" w:rsidRDefault="000807D5" w14:paraId="66F2F79D" w14:textId="4DAFCC0C">
      <w:pPr>
        <w:pStyle w:val="Default"/>
        <w:ind w:left="709"/>
        <w:rPr>
          <w:sz w:val="20"/>
          <w:szCs w:val="20"/>
          <w:lang w:val="fr-FR"/>
        </w:rPr>
      </w:pPr>
      <w:r w:rsidRPr="00A86354">
        <w:rPr>
          <w:sz w:val="20"/>
          <w:szCs w:val="20"/>
          <w:lang w:val="fr-FR"/>
        </w:rPr>
        <w:t>« </w:t>
      </w:r>
      <w:r w:rsidRPr="00A86354" w:rsidR="00BF085D">
        <w:rPr>
          <w:sz w:val="20"/>
          <w:szCs w:val="20"/>
          <w:lang w:val="fr-FR"/>
        </w:rPr>
        <w:t>Recommandations d</w:t>
      </w:r>
      <w:r w:rsidRPr="00A86354" w:rsidR="0006032C">
        <w:rPr>
          <w:sz w:val="20"/>
          <w:szCs w:val="20"/>
          <w:lang w:val="fr-FR"/>
        </w:rPr>
        <w:t>’</w:t>
      </w:r>
      <w:r w:rsidRPr="00A86354" w:rsidR="00BF085D">
        <w:rPr>
          <w:sz w:val="20"/>
          <w:szCs w:val="20"/>
          <w:lang w:val="fr-FR"/>
        </w:rPr>
        <w:t>ordre général</w:t>
      </w:r>
      <w:r w:rsidRPr="00A86354" w:rsidR="00085E21">
        <w:rPr>
          <w:sz w:val="20"/>
          <w:szCs w:val="20"/>
          <w:lang w:val="fr-FR"/>
        </w:rPr>
        <w:t xml:space="preserve"> </w:t>
      </w:r>
    </w:p>
    <w:p w:rsidRPr="00A86354" w:rsidR="00722D77" w:rsidP="00DB7D6D" w:rsidRDefault="00722D77" w14:paraId="464E04BE" w14:textId="77777777">
      <w:pPr>
        <w:autoSpaceDE w:val="0"/>
        <w:autoSpaceDN w:val="0"/>
        <w:adjustRightInd w:val="0"/>
        <w:ind w:left="709"/>
        <w:rPr>
          <w:rFonts w:ascii="Arial" w:hAnsi="Arial" w:cs="Arial" w:eastAsiaTheme="minorHAnsi"/>
          <w:color w:val="000000"/>
          <w:sz w:val="20"/>
          <w:szCs w:val="20"/>
          <w:lang w:val="fr-FR" w:eastAsia="en-US"/>
        </w:rPr>
      </w:pPr>
    </w:p>
    <w:p w:rsidRPr="00A86354" w:rsidR="00085E21" w:rsidP="00DB7D6D" w:rsidRDefault="00085E21" w14:paraId="12123846" w14:textId="49740469">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 xml:space="preserve">77. </w:t>
      </w:r>
      <w:r w:rsidRPr="00A86354" w:rsidR="00BF085D">
        <w:rPr>
          <w:rFonts w:ascii="Arial" w:hAnsi="Arial" w:cs="Arial" w:eastAsiaTheme="minorHAnsi"/>
          <w:color w:val="000000"/>
          <w:sz w:val="20"/>
          <w:szCs w:val="20"/>
          <w:lang w:val="fr-FR" w:eastAsia="en-US"/>
        </w:rPr>
        <w:t xml:space="preserve">La Rapporteuse spéciale recommande au </w:t>
      </w:r>
      <w:r w:rsidRPr="00A86354" w:rsidR="00AE34AC">
        <w:rPr>
          <w:rFonts w:ascii="Arial" w:hAnsi="Arial" w:cs="Arial" w:eastAsiaTheme="minorHAnsi"/>
          <w:color w:val="000000"/>
          <w:sz w:val="20"/>
          <w:szCs w:val="20"/>
          <w:lang w:val="fr-FR" w:eastAsia="en-US"/>
        </w:rPr>
        <w:t>Gouvernement</w:t>
      </w:r>
      <w:r w:rsidRPr="00A86354" w:rsidR="000807D5">
        <w:rPr>
          <w:rFonts w:ascii="Arial" w:hAnsi="Arial" w:cs="Arial" w:eastAsiaTheme="minorHAnsi"/>
          <w:color w:val="000000"/>
          <w:sz w:val="20"/>
          <w:szCs w:val="20"/>
          <w:lang w:val="fr-FR" w:eastAsia="en-US"/>
        </w:rPr>
        <w:t> :</w:t>
      </w:r>
      <w:r w:rsidRPr="00A86354">
        <w:rPr>
          <w:rFonts w:ascii="Arial" w:hAnsi="Arial" w:cs="Arial" w:eastAsiaTheme="minorHAnsi"/>
          <w:color w:val="000000"/>
          <w:sz w:val="20"/>
          <w:szCs w:val="20"/>
          <w:lang w:val="fr-FR" w:eastAsia="en-US"/>
        </w:rPr>
        <w:t xml:space="preserve"> </w:t>
      </w:r>
    </w:p>
    <w:p w:rsidRPr="00A86354" w:rsidR="00722D77" w:rsidP="00DB7D6D" w:rsidRDefault="00722D77" w14:paraId="62F3C511" w14:textId="77777777">
      <w:pPr>
        <w:autoSpaceDE w:val="0"/>
        <w:autoSpaceDN w:val="0"/>
        <w:adjustRightInd w:val="0"/>
        <w:ind w:left="709"/>
        <w:rPr>
          <w:rFonts w:ascii="Arial" w:hAnsi="Arial" w:cs="Arial" w:eastAsiaTheme="minorHAnsi"/>
          <w:color w:val="000000"/>
          <w:sz w:val="20"/>
          <w:szCs w:val="20"/>
          <w:lang w:val="fr-FR" w:eastAsia="en-US"/>
        </w:rPr>
      </w:pPr>
    </w:p>
    <w:p w:rsidRPr="00A86354" w:rsidR="00085E21" w:rsidP="00DB7D6D" w:rsidRDefault="00085E21" w14:paraId="6005A108" w14:textId="687FE102">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 xml:space="preserve">(a) </w:t>
      </w:r>
      <w:r w:rsidRPr="00A86354" w:rsidR="00BF085D">
        <w:rPr>
          <w:rFonts w:ascii="Arial" w:hAnsi="Arial" w:cs="Arial" w:eastAsiaTheme="minorHAnsi"/>
          <w:color w:val="000000"/>
          <w:sz w:val="20"/>
          <w:szCs w:val="20"/>
          <w:lang w:val="fr-FR" w:eastAsia="en-US"/>
        </w:rPr>
        <w:t>de veiller à ce que soient recueillies des données relatives à la situation des personnes handicapées, ventilées, au minimum, par sexe et par âge, lesquelles serviront de base aux politiques publiques, et d</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inclure des questions sur le handicap dans les prochains recensements de la population et l</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ensemble des enquêtes nationales</w:t>
      </w:r>
      <w:r w:rsidRPr="00A86354" w:rsidR="000807D5">
        <w:rPr>
          <w:rFonts w:ascii="Arial" w:hAnsi="Arial" w:cs="Arial" w:eastAsiaTheme="minorHAnsi"/>
          <w:color w:val="000000"/>
          <w:sz w:val="20"/>
          <w:szCs w:val="20"/>
          <w:lang w:val="fr-FR" w:eastAsia="en-US"/>
        </w:rPr>
        <w:t> ;</w:t>
      </w:r>
      <w:r w:rsidRPr="00A86354">
        <w:rPr>
          <w:rFonts w:ascii="Arial" w:hAnsi="Arial" w:cs="Arial" w:eastAsiaTheme="minorHAnsi"/>
          <w:color w:val="000000"/>
          <w:sz w:val="20"/>
          <w:szCs w:val="20"/>
          <w:lang w:val="fr-FR" w:eastAsia="en-US"/>
        </w:rPr>
        <w:t xml:space="preserve"> </w:t>
      </w:r>
    </w:p>
    <w:p w:rsidRPr="00A86354" w:rsidR="00085E21" w:rsidP="00DB7D6D" w:rsidRDefault="00085E21" w14:paraId="448A0E9E" w14:textId="177527A6">
      <w:pPr>
        <w:ind w:left="709"/>
        <w:rPr>
          <w:rFonts w:ascii="Arial" w:hAnsi="Arial" w:cs="Arial" w:eastAsiaTheme="majorEastAsia"/>
          <w:sz w:val="20"/>
          <w:szCs w:val="20"/>
          <w:lang w:val="fr-FR"/>
        </w:rPr>
      </w:pPr>
      <w:r w:rsidRPr="00A86354">
        <w:rPr>
          <w:rFonts w:ascii="Arial" w:hAnsi="Arial" w:cs="Arial" w:eastAsiaTheme="minorHAnsi"/>
          <w:color w:val="000000"/>
          <w:sz w:val="20"/>
          <w:szCs w:val="20"/>
          <w:lang w:val="fr-FR" w:eastAsia="en-US"/>
        </w:rPr>
        <w:t xml:space="preserve">(b) </w:t>
      </w:r>
      <w:r w:rsidRPr="00A86354" w:rsidR="00BF085D">
        <w:rPr>
          <w:rFonts w:ascii="Arial" w:hAnsi="Arial" w:cs="Arial" w:eastAsiaTheme="minorHAnsi"/>
          <w:color w:val="000000"/>
          <w:sz w:val="20"/>
          <w:szCs w:val="20"/>
          <w:lang w:val="fr-FR" w:eastAsia="en-US"/>
        </w:rPr>
        <w:t>d</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organiser des campagnes de sensibilisation aux droits des personnes handicapées pour encourager les médias et la population dans son ensemble à combattre la stigmatisation et les préjugés dont ces personnes sont victimes et pour promouvoir une image positive du handicap en France.</w:t>
      </w:r>
      <w:r w:rsidRPr="00A86354" w:rsidR="000807D5">
        <w:rPr>
          <w:rFonts w:ascii="Arial" w:hAnsi="Arial" w:cs="Arial" w:eastAsiaTheme="minorHAnsi"/>
          <w:color w:val="000000"/>
          <w:sz w:val="20"/>
          <w:szCs w:val="20"/>
          <w:lang w:val="fr-FR" w:eastAsia="en-US"/>
        </w:rPr>
        <w:t> »</w:t>
      </w:r>
    </w:p>
    <w:p w:rsidRPr="00A86354" w:rsidR="009B49C3" w:rsidP="00DB7D6D" w:rsidRDefault="009B49C3" w14:paraId="65ECDF87" w14:textId="4B852E25">
      <w:pPr>
        <w:keepNext/>
        <w:keepLines/>
        <w:tabs>
          <w:tab w:val="left" w:pos="709"/>
        </w:tabs>
        <w:ind w:left="709"/>
        <w:outlineLvl w:val="0"/>
        <w:rPr>
          <w:rFonts w:ascii="Arial" w:hAnsi="Arial" w:cs="Arial" w:eastAsiaTheme="majorEastAsia"/>
          <w:sz w:val="20"/>
          <w:szCs w:val="20"/>
          <w:lang w:val="fr-FR"/>
        </w:rPr>
      </w:pPr>
    </w:p>
    <w:p w:rsidRPr="00A86354" w:rsidR="00722D77" w:rsidP="00DB7D6D" w:rsidRDefault="002C5D46" w14:paraId="4F480DF1" w14:textId="2943FA9D">
      <w:pPr>
        <w:keepNext/>
        <w:keepLines/>
        <w:tabs>
          <w:tab w:val="left" w:pos="709"/>
        </w:tabs>
        <w:ind w:left="709"/>
        <w:outlineLvl w:val="0"/>
        <w:rPr>
          <w:rFonts w:ascii="Arial" w:hAnsi="Arial" w:cs="Arial" w:eastAsiaTheme="majorEastAsia"/>
          <w:sz w:val="20"/>
          <w:szCs w:val="20"/>
          <w:lang w:val="fr-FR"/>
        </w:rPr>
      </w:pPr>
      <w:r w:rsidRPr="00A86354">
        <w:rPr>
          <w:rFonts w:ascii="Arial" w:hAnsi="Arial" w:cs="Arial" w:eastAsiaTheme="majorEastAsia"/>
          <w:sz w:val="20"/>
          <w:szCs w:val="20"/>
          <w:lang w:val="fr-FR"/>
        </w:rPr>
        <w:t>[...]</w:t>
      </w:r>
    </w:p>
    <w:p w:rsidRPr="00A86354" w:rsidR="00722D77" w:rsidP="00DB7D6D" w:rsidRDefault="00722D77" w14:paraId="67587FDD" w14:textId="77777777">
      <w:pPr>
        <w:keepNext/>
        <w:keepLines/>
        <w:tabs>
          <w:tab w:val="left" w:pos="709"/>
        </w:tabs>
        <w:ind w:left="709"/>
        <w:outlineLvl w:val="0"/>
        <w:rPr>
          <w:rFonts w:ascii="Arial" w:hAnsi="Arial" w:cs="Arial" w:eastAsiaTheme="majorEastAsia"/>
          <w:sz w:val="20"/>
          <w:szCs w:val="20"/>
          <w:lang w:val="fr-FR"/>
        </w:rPr>
      </w:pPr>
    </w:p>
    <w:p w:rsidRPr="00A86354" w:rsidR="00085E21" w:rsidP="00DB7D6D" w:rsidRDefault="00BF085D" w14:paraId="5BE04F4D" w14:textId="4A66C27C">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Accessibilité</w:t>
      </w:r>
      <w:r w:rsidRPr="00A86354" w:rsidR="00085E21">
        <w:rPr>
          <w:rFonts w:ascii="Arial" w:hAnsi="Arial" w:cs="Arial" w:eastAsiaTheme="minorHAnsi"/>
          <w:color w:val="000000"/>
          <w:sz w:val="20"/>
          <w:szCs w:val="20"/>
          <w:lang w:val="fr-FR" w:eastAsia="en-US"/>
        </w:rPr>
        <w:t xml:space="preserve"> </w:t>
      </w:r>
    </w:p>
    <w:p w:rsidRPr="00A86354" w:rsidR="00722D77" w:rsidP="00DB7D6D" w:rsidRDefault="00722D77" w14:paraId="62C78AC3" w14:textId="77777777">
      <w:pPr>
        <w:autoSpaceDE w:val="0"/>
        <w:autoSpaceDN w:val="0"/>
        <w:adjustRightInd w:val="0"/>
        <w:ind w:left="709"/>
        <w:rPr>
          <w:rFonts w:ascii="Arial" w:hAnsi="Arial" w:cs="Arial" w:eastAsiaTheme="minorHAnsi"/>
          <w:color w:val="000000"/>
          <w:sz w:val="20"/>
          <w:szCs w:val="20"/>
          <w:lang w:val="fr-FR" w:eastAsia="en-US"/>
        </w:rPr>
      </w:pPr>
    </w:p>
    <w:p w:rsidRPr="00A86354" w:rsidR="00085E21" w:rsidP="00DB7D6D" w:rsidRDefault="00085E21" w14:paraId="474F15C3" w14:textId="04EE357E">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 xml:space="preserve">79. </w:t>
      </w:r>
      <w:r w:rsidRPr="00A86354" w:rsidR="00BF085D">
        <w:rPr>
          <w:rFonts w:ascii="Arial" w:hAnsi="Arial" w:cs="Arial" w:eastAsiaTheme="minorHAnsi"/>
          <w:color w:val="000000"/>
          <w:sz w:val="20"/>
          <w:szCs w:val="20"/>
          <w:lang w:val="fr-FR" w:eastAsia="en-US"/>
        </w:rPr>
        <w:t xml:space="preserve">La Rapporteuse spéciale recommande au </w:t>
      </w:r>
      <w:r w:rsidRPr="00A86354" w:rsidR="00AE34AC">
        <w:rPr>
          <w:rFonts w:ascii="Arial" w:hAnsi="Arial" w:cs="Arial" w:eastAsiaTheme="minorHAnsi"/>
          <w:color w:val="000000"/>
          <w:sz w:val="20"/>
          <w:szCs w:val="20"/>
          <w:lang w:val="fr-FR" w:eastAsia="en-US"/>
        </w:rPr>
        <w:t>Gouvernement</w:t>
      </w:r>
      <w:r w:rsidRPr="00A86354" w:rsidR="000807D5">
        <w:rPr>
          <w:rFonts w:ascii="Arial" w:hAnsi="Arial" w:cs="Arial" w:eastAsiaTheme="minorHAnsi"/>
          <w:color w:val="000000"/>
          <w:sz w:val="20"/>
          <w:szCs w:val="20"/>
          <w:lang w:val="fr-FR" w:eastAsia="en-US"/>
        </w:rPr>
        <w:t> :</w:t>
      </w:r>
      <w:r w:rsidRPr="00A86354">
        <w:rPr>
          <w:rFonts w:ascii="Arial" w:hAnsi="Arial" w:cs="Arial" w:eastAsiaTheme="minorHAnsi"/>
          <w:color w:val="000000"/>
          <w:sz w:val="20"/>
          <w:szCs w:val="20"/>
          <w:lang w:val="fr-FR" w:eastAsia="en-US"/>
        </w:rPr>
        <w:t xml:space="preserve"> </w:t>
      </w:r>
    </w:p>
    <w:p w:rsidRPr="00A86354" w:rsidR="00085E21" w:rsidP="00DB7D6D" w:rsidRDefault="00085E21" w14:paraId="4002BD0C" w14:textId="37DE1A2B">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lastRenderedPageBreak/>
        <w:t xml:space="preserve">(a) </w:t>
      </w:r>
      <w:r w:rsidRPr="00A86354" w:rsidR="00BF085D">
        <w:rPr>
          <w:rFonts w:ascii="Arial" w:hAnsi="Arial" w:cs="Arial" w:eastAsiaTheme="minorHAnsi"/>
          <w:color w:val="000000"/>
          <w:sz w:val="20"/>
          <w:szCs w:val="20"/>
          <w:lang w:val="fr-FR" w:eastAsia="en-US"/>
        </w:rPr>
        <w:t>de hâter et d</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achever dans les meilleurs délais la mise en accessibilité des équipement physiques, comme l</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exige la loi n</w:t>
      </w:r>
      <w:r w:rsidRPr="00A86354" w:rsidR="003136A0">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 xml:space="preserve"> 2005-102 du 11 février 2005, et ce, dans l</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ensemble du pays, y compris dans les territoires d</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outre-mer</w:t>
      </w:r>
      <w:r w:rsidRPr="00A86354" w:rsidR="000807D5">
        <w:rPr>
          <w:rFonts w:ascii="Arial" w:hAnsi="Arial" w:cs="Arial" w:eastAsiaTheme="minorHAnsi"/>
          <w:color w:val="000000"/>
          <w:sz w:val="20"/>
          <w:szCs w:val="20"/>
          <w:lang w:val="fr-FR" w:eastAsia="en-US"/>
        </w:rPr>
        <w:t> ;</w:t>
      </w:r>
      <w:r w:rsidRPr="00A86354">
        <w:rPr>
          <w:rFonts w:ascii="Arial" w:hAnsi="Arial" w:cs="Arial" w:eastAsiaTheme="minorHAnsi"/>
          <w:color w:val="000000"/>
          <w:sz w:val="20"/>
          <w:szCs w:val="20"/>
          <w:lang w:val="fr-FR" w:eastAsia="en-US"/>
        </w:rPr>
        <w:t xml:space="preserve"> </w:t>
      </w:r>
    </w:p>
    <w:p w:rsidRPr="00A86354" w:rsidR="00085E21" w:rsidP="00DB7D6D" w:rsidRDefault="00085E21" w14:paraId="441B3BB8" w14:textId="072B33D5">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 xml:space="preserve">(b) </w:t>
      </w:r>
      <w:r w:rsidRPr="00A86354" w:rsidR="00BF085D">
        <w:rPr>
          <w:rFonts w:ascii="Arial" w:hAnsi="Arial" w:cs="Arial" w:eastAsiaTheme="minorHAnsi"/>
          <w:color w:val="000000"/>
          <w:sz w:val="20"/>
          <w:szCs w:val="20"/>
          <w:lang w:val="fr-FR" w:eastAsia="en-US"/>
        </w:rPr>
        <w:t>d</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adopter des décrets et des règlements en vue de rendre les transports publics accessibles à l</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ensemble des personnes handicapées à des prix abordables, et de prévoir des fonds suffisants et un échéancier précis aux fins de leur mise en application</w:t>
      </w:r>
      <w:r w:rsidRPr="00A86354" w:rsidR="000807D5">
        <w:rPr>
          <w:rFonts w:ascii="Arial" w:hAnsi="Arial" w:cs="Arial" w:eastAsiaTheme="minorHAnsi"/>
          <w:color w:val="000000"/>
          <w:sz w:val="20"/>
          <w:szCs w:val="20"/>
          <w:lang w:val="fr-FR" w:eastAsia="en-US"/>
        </w:rPr>
        <w:t> ;</w:t>
      </w:r>
      <w:r w:rsidRPr="00A86354">
        <w:rPr>
          <w:rFonts w:ascii="Arial" w:hAnsi="Arial" w:cs="Arial" w:eastAsiaTheme="minorHAnsi"/>
          <w:color w:val="000000"/>
          <w:sz w:val="20"/>
          <w:szCs w:val="20"/>
          <w:lang w:val="fr-FR" w:eastAsia="en-US"/>
        </w:rPr>
        <w:t xml:space="preserve"> </w:t>
      </w:r>
    </w:p>
    <w:p w:rsidRPr="00A86354" w:rsidR="009B49C3" w:rsidP="00DB7D6D" w:rsidRDefault="00085E21" w14:paraId="2A866B38" w14:textId="2CA1D406">
      <w:pPr>
        <w:keepNext/>
        <w:keepLines/>
        <w:tabs>
          <w:tab w:val="left" w:pos="709"/>
        </w:tabs>
        <w:ind w:left="709"/>
        <w:outlineLvl w:val="0"/>
        <w:rPr>
          <w:rFonts w:ascii="Arial" w:hAnsi="Arial" w:cs="Arial" w:eastAsiaTheme="majorEastAsia"/>
          <w:sz w:val="20"/>
          <w:szCs w:val="20"/>
          <w:lang w:val="fr-FR"/>
        </w:rPr>
      </w:pPr>
      <w:r w:rsidRPr="00A86354">
        <w:rPr>
          <w:rFonts w:ascii="Arial" w:hAnsi="Arial" w:cs="Arial" w:eastAsiaTheme="minorHAnsi"/>
          <w:color w:val="000000"/>
          <w:sz w:val="20"/>
          <w:szCs w:val="20"/>
          <w:lang w:val="fr-FR" w:eastAsia="en-US"/>
        </w:rPr>
        <w:t xml:space="preserve">(c) </w:t>
      </w:r>
      <w:r w:rsidRPr="00A86354" w:rsidR="00BF085D">
        <w:rPr>
          <w:rFonts w:ascii="Arial" w:hAnsi="Arial" w:cs="Arial" w:eastAsiaTheme="minorHAnsi"/>
          <w:color w:val="000000"/>
          <w:sz w:val="20"/>
          <w:szCs w:val="20"/>
          <w:lang w:val="fr-FR" w:eastAsia="en-US"/>
        </w:rPr>
        <w:t>de faire en sorte que les campagnes de sensibilisation essentielles soient accessibles à l</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ensemble des personnes handicapées.</w:t>
      </w:r>
    </w:p>
    <w:p w:rsidRPr="00A86354" w:rsidR="009B49C3" w:rsidP="00DB7D6D" w:rsidRDefault="009B49C3" w14:paraId="0D40B47E" w14:textId="0659023F">
      <w:pPr>
        <w:keepNext/>
        <w:keepLines/>
        <w:tabs>
          <w:tab w:val="left" w:pos="709"/>
        </w:tabs>
        <w:ind w:left="709"/>
        <w:outlineLvl w:val="0"/>
        <w:rPr>
          <w:rFonts w:ascii="Arial" w:hAnsi="Arial" w:cs="Arial" w:eastAsiaTheme="majorEastAsia"/>
          <w:sz w:val="20"/>
          <w:szCs w:val="20"/>
          <w:lang w:val="fr-FR"/>
        </w:rPr>
      </w:pPr>
    </w:p>
    <w:p w:rsidRPr="00A86354" w:rsidR="009B49C3" w:rsidP="00DB7D6D" w:rsidRDefault="002C5D46" w14:paraId="1FB7E566" w14:textId="79C77659">
      <w:pPr>
        <w:keepNext/>
        <w:keepLines/>
        <w:tabs>
          <w:tab w:val="left" w:pos="709"/>
        </w:tabs>
        <w:ind w:left="709"/>
        <w:outlineLvl w:val="0"/>
        <w:rPr>
          <w:rFonts w:ascii="Arial" w:hAnsi="Arial" w:cs="Arial" w:eastAsiaTheme="majorEastAsia"/>
          <w:sz w:val="20"/>
          <w:szCs w:val="20"/>
          <w:lang w:val="fr-FR"/>
        </w:rPr>
      </w:pPr>
      <w:r w:rsidRPr="00A86354">
        <w:rPr>
          <w:rFonts w:ascii="Arial" w:hAnsi="Arial" w:cs="Arial" w:eastAsiaTheme="majorEastAsia"/>
          <w:sz w:val="20"/>
          <w:szCs w:val="20"/>
          <w:lang w:val="fr-FR"/>
        </w:rPr>
        <w:t>[...]</w:t>
      </w:r>
    </w:p>
    <w:p w:rsidRPr="00A86354" w:rsidR="00722D77" w:rsidP="00DB7D6D" w:rsidRDefault="00722D77" w14:paraId="69D232C3" w14:textId="77777777">
      <w:pPr>
        <w:keepNext/>
        <w:keepLines/>
        <w:tabs>
          <w:tab w:val="left" w:pos="709"/>
        </w:tabs>
        <w:ind w:left="709"/>
        <w:outlineLvl w:val="0"/>
        <w:rPr>
          <w:rFonts w:ascii="Arial" w:hAnsi="Arial" w:cs="Arial" w:eastAsiaTheme="majorEastAsia"/>
          <w:sz w:val="20"/>
          <w:szCs w:val="20"/>
          <w:lang w:val="fr-FR"/>
        </w:rPr>
      </w:pPr>
    </w:p>
    <w:p w:rsidRPr="00A86354" w:rsidR="00085E21" w:rsidP="00DB7D6D" w:rsidRDefault="00BF085D" w14:paraId="29288CF8" w14:textId="1910CE4F">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P</w:t>
      </w:r>
      <w:r w:rsidRPr="00A86354" w:rsidR="00085E21">
        <w:rPr>
          <w:rFonts w:ascii="Arial" w:hAnsi="Arial" w:cs="Arial" w:eastAsiaTheme="minorHAnsi"/>
          <w:color w:val="000000"/>
          <w:sz w:val="20"/>
          <w:szCs w:val="20"/>
          <w:lang w:val="fr-FR" w:eastAsia="en-US"/>
        </w:rPr>
        <w:t xml:space="preserve">rotection </w:t>
      </w:r>
      <w:r w:rsidRPr="00A86354">
        <w:rPr>
          <w:rFonts w:ascii="Arial" w:hAnsi="Arial" w:cs="Arial" w:eastAsiaTheme="minorHAnsi"/>
          <w:color w:val="000000"/>
          <w:sz w:val="20"/>
          <w:szCs w:val="20"/>
          <w:lang w:val="fr-FR" w:eastAsia="en-US"/>
        </w:rPr>
        <w:t>sociale</w:t>
      </w:r>
    </w:p>
    <w:p w:rsidRPr="00A86354" w:rsidR="00722D77" w:rsidP="00DB7D6D" w:rsidRDefault="00722D77" w14:paraId="5895FF7E" w14:textId="77777777">
      <w:pPr>
        <w:autoSpaceDE w:val="0"/>
        <w:autoSpaceDN w:val="0"/>
        <w:adjustRightInd w:val="0"/>
        <w:ind w:left="709"/>
        <w:rPr>
          <w:rFonts w:ascii="Arial" w:hAnsi="Arial" w:cs="Arial" w:eastAsiaTheme="minorHAnsi"/>
          <w:color w:val="000000"/>
          <w:sz w:val="20"/>
          <w:szCs w:val="20"/>
          <w:lang w:val="fr-FR" w:eastAsia="en-US"/>
        </w:rPr>
      </w:pPr>
    </w:p>
    <w:p w:rsidRPr="00A86354" w:rsidR="00085E21" w:rsidP="00DB7D6D" w:rsidRDefault="00085E21" w14:paraId="13B4D299" w14:textId="6F995E19">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 xml:space="preserve">83. </w:t>
      </w:r>
      <w:r w:rsidRPr="00A86354" w:rsidR="00BF085D">
        <w:rPr>
          <w:rFonts w:ascii="Arial" w:hAnsi="Arial" w:cs="Arial" w:eastAsiaTheme="minorHAnsi"/>
          <w:color w:val="000000"/>
          <w:sz w:val="20"/>
          <w:szCs w:val="20"/>
          <w:lang w:val="fr-FR" w:eastAsia="en-US"/>
        </w:rPr>
        <w:t xml:space="preserve">La Rapporteuse spéciale recommande au </w:t>
      </w:r>
      <w:r w:rsidRPr="00A86354" w:rsidR="00AE34AC">
        <w:rPr>
          <w:rFonts w:ascii="Arial" w:hAnsi="Arial" w:cs="Arial" w:eastAsiaTheme="minorHAnsi"/>
          <w:color w:val="000000"/>
          <w:sz w:val="20"/>
          <w:szCs w:val="20"/>
          <w:lang w:val="fr-FR" w:eastAsia="en-US"/>
        </w:rPr>
        <w:t>Gouvernement</w:t>
      </w:r>
      <w:r w:rsidRPr="00A86354" w:rsidR="000807D5">
        <w:rPr>
          <w:rFonts w:ascii="Arial" w:hAnsi="Arial" w:cs="Arial" w:eastAsiaTheme="minorHAnsi"/>
          <w:color w:val="000000"/>
          <w:sz w:val="20"/>
          <w:szCs w:val="20"/>
          <w:lang w:val="fr-FR" w:eastAsia="en-US"/>
        </w:rPr>
        <w:t> :</w:t>
      </w:r>
      <w:r w:rsidRPr="00A86354">
        <w:rPr>
          <w:rFonts w:ascii="Arial" w:hAnsi="Arial" w:cs="Arial" w:eastAsiaTheme="minorHAnsi"/>
          <w:color w:val="000000"/>
          <w:sz w:val="20"/>
          <w:szCs w:val="20"/>
          <w:lang w:val="fr-FR" w:eastAsia="en-US"/>
        </w:rPr>
        <w:t xml:space="preserve"> </w:t>
      </w:r>
    </w:p>
    <w:p w:rsidRPr="00A86354" w:rsidR="00722D77" w:rsidP="00DB7D6D" w:rsidRDefault="00722D77" w14:paraId="36560BA4" w14:textId="77777777">
      <w:pPr>
        <w:autoSpaceDE w:val="0"/>
        <w:autoSpaceDN w:val="0"/>
        <w:adjustRightInd w:val="0"/>
        <w:ind w:left="709"/>
        <w:rPr>
          <w:rFonts w:ascii="Arial" w:hAnsi="Arial" w:cs="Arial" w:eastAsiaTheme="minorHAnsi"/>
          <w:color w:val="000000"/>
          <w:sz w:val="20"/>
          <w:szCs w:val="20"/>
          <w:lang w:val="fr-FR" w:eastAsia="en-US"/>
        </w:rPr>
      </w:pPr>
    </w:p>
    <w:p w:rsidRPr="00A86354" w:rsidR="00085E21" w:rsidP="00DB7D6D" w:rsidRDefault="00085E21" w14:paraId="1AFFFC85" w14:textId="2D12AC9A">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 xml:space="preserve">(a) </w:t>
      </w:r>
      <w:r w:rsidRPr="00A86354" w:rsidR="00BF085D">
        <w:rPr>
          <w:rFonts w:ascii="Arial" w:hAnsi="Arial" w:cs="Arial" w:eastAsiaTheme="minorHAnsi"/>
          <w:color w:val="000000"/>
          <w:sz w:val="20"/>
          <w:szCs w:val="20"/>
          <w:lang w:val="fr-FR" w:eastAsia="en-US"/>
        </w:rPr>
        <w:t>de veiller à ce que le système de protection sociale garantisse l</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accès à des services de proximité, ainsi qu</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à des appareils, accessoires et autres aides adaptés et répondant aux besoins liés au handicap</w:t>
      </w:r>
      <w:r w:rsidRPr="00A86354" w:rsidR="000807D5">
        <w:rPr>
          <w:rFonts w:ascii="Arial" w:hAnsi="Arial" w:cs="Arial" w:eastAsiaTheme="minorHAnsi"/>
          <w:color w:val="000000"/>
          <w:sz w:val="20"/>
          <w:szCs w:val="20"/>
          <w:lang w:val="fr-FR" w:eastAsia="en-US"/>
        </w:rPr>
        <w:t> ;</w:t>
      </w:r>
    </w:p>
    <w:p w:rsidRPr="00A86354" w:rsidR="00085E21" w:rsidP="00DB7D6D" w:rsidRDefault="00085E21" w14:paraId="698731FC" w14:textId="4B088CD7">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 xml:space="preserve">(b) </w:t>
      </w:r>
      <w:r w:rsidRPr="00A86354" w:rsidR="00BF085D">
        <w:rPr>
          <w:rFonts w:ascii="Arial" w:hAnsi="Arial" w:cs="Arial" w:eastAsiaTheme="minorHAnsi"/>
          <w:color w:val="000000"/>
          <w:sz w:val="20"/>
          <w:szCs w:val="20"/>
          <w:lang w:val="fr-FR" w:eastAsia="en-US"/>
        </w:rPr>
        <w:t>de fournir gracieusement des appareils d</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assistance essentiels et une aide technique, de rendre progressivement les autres appareils d</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assistance plus abordables et de tenir compte, dans le calcul des prestations sociales, des frais supplémentaires que doivent assumer les personnes handicapées</w:t>
      </w:r>
      <w:r w:rsidRPr="00A86354" w:rsidR="000807D5">
        <w:rPr>
          <w:rFonts w:ascii="Arial" w:hAnsi="Arial" w:cs="Arial" w:eastAsiaTheme="minorHAnsi"/>
          <w:color w:val="000000"/>
          <w:sz w:val="20"/>
          <w:szCs w:val="20"/>
          <w:lang w:val="fr-FR" w:eastAsia="en-US"/>
        </w:rPr>
        <w:t> ;</w:t>
      </w:r>
      <w:r w:rsidRPr="00A86354">
        <w:rPr>
          <w:rFonts w:ascii="Arial" w:hAnsi="Arial" w:cs="Arial" w:eastAsiaTheme="minorHAnsi"/>
          <w:color w:val="000000"/>
          <w:sz w:val="20"/>
          <w:szCs w:val="20"/>
          <w:lang w:val="fr-FR" w:eastAsia="en-US"/>
        </w:rPr>
        <w:t xml:space="preserve"> </w:t>
      </w:r>
    </w:p>
    <w:p w:rsidRPr="00A86354" w:rsidR="00085E21" w:rsidP="00DB7D6D" w:rsidRDefault="00085E21" w14:paraId="02958F2E" w14:textId="7A7682FF">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 xml:space="preserve">(c) </w:t>
      </w:r>
      <w:r w:rsidRPr="00A86354" w:rsidR="00BF085D">
        <w:rPr>
          <w:rFonts w:ascii="Arial" w:hAnsi="Arial" w:cs="Arial" w:eastAsiaTheme="minorHAnsi"/>
          <w:color w:val="000000"/>
          <w:sz w:val="20"/>
          <w:szCs w:val="20"/>
          <w:lang w:val="fr-FR" w:eastAsia="en-US"/>
        </w:rPr>
        <w:t>de veiller à ce que le système de protection sociale favorise la citoyenneté active, l</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inclusion sociale et la participation à la vie de la société, plutôt que de proposer des solutions qui conduisent à la mise à l</w:t>
      </w:r>
      <w:r w:rsidRPr="00A86354" w:rsidR="0006032C">
        <w:rPr>
          <w:rFonts w:ascii="Arial" w:hAnsi="Arial" w:cs="Arial" w:eastAsiaTheme="minorHAnsi"/>
          <w:color w:val="000000"/>
          <w:sz w:val="20"/>
          <w:szCs w:val="20"/>
          <w:lang w:val="fr-FR" w:eastAsia="en-US"/>
        </w:rPr>
        <w:t>’</w:t>
      </w:r>
      <w:r w:rsidRPr="00A86354" w:rsidR="00BF085D">
        <w:rPr>
          <w:rFonts w:ascii="Arial" w:hAnsi="Arial" w:cs="Arial" w:eastAsiaTheme="minorHAnsi"/>
          <w:color w:val="000000"/>
          <w:sz w:val="20"/>
          <w:szCs w:val="20"/>
          <w:lang w:val="fr-FR" w:eastAsia="en-US"/>
        </w:rPr>
        <w:t>écart des personnes handicapées.</w:t>
      </w:r>
      <w:r w:rsidRPr="00A86354">
        <w:rPr>
          <w:rFonts w:ascii="Arial" w:hAnsi="Arial" w:cs="Arial" w:eastAsiaTheme="minorHAnsi"/>
          <w:color w:val="000000"/>
          <w:sz w:val="20"/>
          <w:szCs w:val="20"/>
          <w:lang w:val="fr-FR" w:eastAsia="en-US"/>
        </w:rPr>
        <w:t xml:space="preserve"> </w:t>
      </w:r>
    </w:p>
    <w:p w:rsidRPr="00A86354" w:rsidR="00FB748A" w:rsidP="00DB7D6D" w:rsidRDefault="00FB748A" w14:paraId="019AD519" w14:textId="77777777">
      <w:pPr>
        <w:autoSpaceDE w:val="0"/>
        <w:autoSpaceDN w:val="0"/>
        <w:adjustRightInd w:val="0"/>
        <w:ind w:left="709"/>
        <w:rPr>
          <w:rFonts w:ascii="Arial" w:hAnsi="Arial" w:cs="Arial" w:eastAsiaTheme="minorHAnsi"/>
          <w:color w:val="000000"/>
          <w:sz w:val="20"/>
          <w:szCs w:val="20"/>
          <w:lang w:val="fr-FR" w:eastAsia="en-US"/>
        </w:rPr>
      </w:pPr>
    </w:p>
    <w:p w:rsidRPr="00A86354" w:rsidR="00085E21" w:rsidP="00DB7D6D" w:rsidRDefault="00BF085D" w14:paraId="3EA28A23" w14:textId="66189B58">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Autonomie de vie et inclusion dans la société</w:t>
      </w:r>
    </w:p>
    <w:p w:rsidRPr="00A86354" w:rsidR="00722D77" w:rsidP="00DB7D6D" w:rsidRDefault="00722D77" w14:paraId="7B9C4B09" w14:textId="77777777">
      <w:pPr>
        <w:autoSpaceDE w:val="0"/>
        <w:autoSpaceDN w:val="0"/>
        <w:adjustRightInd w:val="0"/>
        <w:ind w:left="709"/>
        <w:rPr>
          <w:rFonts w:ascii="Arial" w:hAnsi="Arial" w:cs="Arial" w:eastAsiaTheme="minorHAnsi"/>
          <w:color w:val="000000"/>
          <w:sz w:val="20"/>
          <w:szCs w:val="20"/>
          <w:lang w:val="fr-FR" w:eastAsia="en-US"/>
        </w:rPr>
      </w:pPr>
    </w:p>
    <w:p w:rsidRPr="00A86354" w:rsidR="00085E21" w:rsidP="00DB7D6D" w:rsidRDefault="00085E21" w14:paraId="7C9A43EB" w14:textId="67ED9820">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 xml:space="preserve">84. </w:t>
      </w:r>
      <w:r w:rsidRPr="00A86354" w:rsidR="00C84D68">
        <w:rPr>
          <w:rFonts w:ascii="Arial" w:hAnsi="Arial" w:cs="Arial" w:eastAsiaTheme="minorHAnsi"/>
          <w:color w:val="000000"/>
          <w:sz w:val="20"/>
          <w:szCs w:val="20"/>
          <w:lang w:val="fr-FR" w:eastAsia="en-US"/>
        </w:rPr>
        <w:t xml:space="preserve">La Rapporteuse spéciale recommande au </w:t>
      </w:r>
      <w:r w:rsidRPr="00A86354" w:rsidR="00AE34AC">
        <w:rPr>
          <w:rFonts w:ascii="Arial" w:hAnsi="Arial" w:cs="Arial" w:eastAsiaTheme="minorHAnsi"/>
          <w:color w:val="000000"/>
          <w:sz w:val="20"/>
          <w:szCs w:val="20"/>
          <w:lang w:val="fr-FR" w:eastAsia="en-US"/>
        </w:rPr>
        <w:t>Gouvernement</w:t>
      </w:r>
      <w:r w:rsidRPr="00A86354" w:rsidR="000807D5">
        <w:rPr>
          <w:rFonts w:ascii="Arial" w:hAnsi="Arial" w:cs="Arial" w:eastAsiaTheme="minorHAnsi"/>
          <w:color w:val="000000"/>
          <w:sz w:val="20"/>
          <w:szCs w:val="20"/>
          <w:lang w:val="fr-FR" w:eastAsia="en-US"/>
        </w:rPr>
        <w:t> :</w:t>
      </w:r>
      <w:r w:rsidRPr="00A86354">
        <w:rPr>
          <w:rFonts w:ascii="Arial" w:hAnsi="Arial" w:cs="Arial" w:eastAsiaTheme="minorHAnsi"/>
          <w:color w:val="000000"/>
          <w:sz w:val="20"/>
          <w:szCs w:val="20"/>
          <w:lang w:val="fr-FR" w:eastAsia="en-US"/>
        </w:rPr>
        <w:t xml:space="preserve"> </w:t>
      </w:r>
    </w:p>
    <w:p w:rsidRPr="00A86354" w:rsidR="00722D77" w:rsidP="00DB7D6D" w:rsidRDefault="00722D77" w14:paraId="74F1FF1A" w14:textId="77777777">
      <w:pPr>
        <w:autoSpaceDE w:val="0"/>
        <w:autoSpaceDN w:val="0"/>
        <w:adjustRightInd w:val="0"/>
        <w:ind w:left="709"/>
        <w:rPr>
          <w:rFonts w:ascii="Arial" w:hAnsi="Arial" w:cs="Arial" w:eastAsiaTheme="minorHAnsi"/>
          <w:color w:val="000000"/>
          <w:sz w:val="20"/>
          <w:szCs w:val="20"/>
          <w:lang w:val="fr-FR" w:eastAsia="en-US"/>
        </w:rPr>
      </w:pPr>
    </w:p>
    <w:p w:rsidRPr="00A86354" w:rsidR="00085E21" w:rsidP="00DB7D6D" w:rsidRDefault="00722D77" w14:paraId="452C9218" w14:textId="5967403B">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 xml:space="preserve">(a) </w:t>
      </w:r>
      <w:r w:rsidRPr="00A86354" w:rsidR="00C84D68">
        <w:rPr>
          <w:rFonts w:ascii="Arial" w:hAnsi="Arial" w:cs="Arial" w:eastAsiaTheme="minorHAnsi"/>
          <w:color w:val="000000"/>
          <w:sz w:val="20"/>
          <w:szCs w:val="20"/>
          <w:lang w:val="fr-FR" w:eastAsia="en-US"/>
        </w:rPr>
        <w:t>d</w:t>
      </w:r>
      <w:r w:rsidRPr="00A86354" w:rsidR="0006032C">
        <w:rPr>
          <w:rFonts w:ascii="Arial" w:hAnsi="Arial" w:cs="Arial" w:eastAsiaTheme="minorHAnsi"/>
          <w:color w:val="000000"/>
          <w:sz w:val="20"/>
          <w:szCs w:val="20"/>
          <w:lang w:val="fr-FR" w:eastAsia="en-US"/>
        </w:rPr>
        <w:t>’</w:t>
      </w:r>
      <w:r w:rsidRPr="00A86354" w:rsidR="00C84D68">
        <w:rPr>
          <w:rFonts w:ascii="Arial" w:hAnsi="Arial" w:cs="Arial" w:eastAsiaTheme="minorHAnsi"/>
          <w:color w:val="000000"/>
          <w:sz w:val="20"/>
          <w:szCs w:val="20"/>
          <w:lang w:val="fr-FR" w:eastAsia="en-US"/>
        </w:rPr>
        <w:t>inscrire la désinstitutionalisation des personnes handicapées au rang des priorités et d</w:t>
      </w:r>
      <w:r w:rsidRPr="00A86354" w:rsidR="0006032C">
        <w:rPr>
          <w:rFonts w:ascii="Arial" w:hAnsi="Arial" w:cs="Arial" w:eastAsiaTheme="minorHAnsi"/>
          <w:color w:val="000000"/>
          <w:sz w:val="20"/>
          <w:szCs w:val="20"/>
          <w:lang w:val="fr-FR" w:eastAsia="en-US"/>
        </w:rPr>
        <w:t>’</w:t>
      </w:r>
      <w:r w:rsidRPr="00A86354" w:rsidR="00C84D68">
        <w:rPr>
          <w:rFonts w:ascii="Arial" w:hAnsi="Arial" w:cs="Arial" w:eastAsiaTheme="minorHAnsi"/>
          <w:color w:val="000000"/>
          <w:sz w:val="20"/>
          <w:szCs w:val="20"/>
          <w:lang w:val="fr-FR" w:eastAsia="en-US"/>
        </w:rPr>
        <w:t>envisager sérieusement d</w:t>
      </w:r>
      <w:r w:rsidRPr="00A86354" w:rsidR="0006032C">
        <w:rPr>
          <w:rFonts w:ascii="Arial" w:hAnsi="Arial" w:cs="Arial" w:eastAsiaTheme="minorHAnsi"/>
          <w:color w:val="000000"/>
          <w:sz w:val="20"/>
          <w:szCs w:val="20"/>
          <w:lang w:val="fr-FR" w:eastAsia="en-US"/>
        </w:rPr>
        <w:t>’</w:t>
      </w:r>
      <w:r w:rsidRPr="00A86354" w:rsidR="00C84D68">
        <w:rPr>
          <w:rFonts w:ascii="Arial" w:hAnsi="Arial" w:cs="Arial" w:eastAsiaTheme="minorHAnsi"/>
          <w:color w:val="000000"/>
          <w:sz w:val="20"/>
          <w:szCs w:val="20"/>
          <w:lang w:val="fr-FR" w:eastAsia="en-US"/>
        </w:rPr>
        <w:t>établir un moratoire sur les nouvelles admissions</w:t>
      </w:r>
      <w:r w:rsidRPr="00A86354" w:rsidR="000807D5">
        <w:rPr>
          <w:rFonts w:ascii="Arial" w:hAnsi="Arial" w:cs="Arial" w:eastAsiaTheme="minorHAnsi"/>
          <w:color w:val="000000"/>
          <w:sz w:val="20"/>
          <w:szCs w:val="20"/>
          <w:lang w:val="fr-FR" w:eastAsia="en-US"/>
        </w:rPr>
        <w:t> ;</w:t>
      </w:r>
      <w:r w:rsidRPr="00A86354" w:rsidR="00085E21">
        <w:rPr>
          <w:rFonts w:ascii="Arial" w:hAnsi="Arial" w:cs="Arial" w:eastAsiaTheme="minorHAnsi"/>
          <w:color w:val="000000"/>
          <w:sz w:val="20"/>
          <w:szCs w:val="20"/>
          <w:lang w:val="fr-FR" w:eastAsia="en-US"/>
        </w:rPr>
        <w:t xml:space="preserve"> </w:t>
      </w:r>
    </w:p>
    <w:p w:rsidRPr="00A86354" w:rsidR="007E2CDC" w:rsidP="00DB7D6D" w:rsidRDefault="00085E21" w14:paraId="0C04B660" w14:textId="56EEB7D5">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 xml:space="preserve">(b) </w:t>
      </w:r>
      <w:r w:rsidRPr="00A86354" w:rsidR="00C84D68">
        <w:rPr>
          <w:rFonts w:ascii="Arial" w:hAnsi="Arial" w:cs="Arial" w:eastAsiaTheme="minorHAnsi"/>
          <w:color w:val="000000"/>
          <w:sz w:val="20"/>
          <w:szCs w:val="20"/>
          <w:lang w:val="fr-FR" w:eastAsia="en-US"/>
        </w:rPr>
        <w:t>de fermer progressivement tous les établissements pour personnes handicapées et de transformer les services actuellement offerts aux personnes handicapées en services de proximité, ce qui suppose de mettre des logements adaptés à leur disposition, en suivant un plan assorti d</w:t>
      </w:r>
      <w:r w:rsidRPr="00A86354" w:rsidR="0006032C">
        <w:rPr>
          <w:rFonts w:ascii="Arial" w:hAnsi="Arial" w:cs="Arial" w:eastAsiaTheme="minorHAnsi"/>
          <w:color w:val="000000"/>
          <w:sz w:val="20"/>
          <w:szCs w:val="20"/>
          <w:lang w:val="fr-FR" w:eastAsia="en-US"/>
        </w:rPr>
        <w:t>’</w:t>
      </w:r>
      <w:r w:rsidRPr="00A86354" w:rsidR="00C84D68">
        <w:rPr>
          <w:rFonts w:ascii="Arial" w:hAnsi="Arial" w:cs="Arial" w:eastAsiaTheme="minorHAnsi"/>
          <w:color w:val="000000"/>
          <w:sz w:val="20"/>
          <w:szCs w:val="20"/>
          <w:lang w:val="fr-FR" w:eastAsia="en-US"/>
        </w:rPr>
        <w:t>échéances</w:t>
      </w:r>
      <w:r w:rsidRPr="00A86354" w:rsidR="000807D5">
        <w:rPr>
          <w:rFonts w:ascii="Arial" w:hAnsi="Arial" w:cs="Arial" w:eastAsiaTheme="minorHAnsi"/>
          <w:color w:val="000000"/>
          <w:sz w:val="20"/>
          <w:szCs w:val="20"/>
          <w:lang w:val="fr-FR" w:eastAsia="en-US"/>
        </w:rPr>
        <w:t> ;</w:t>
      </w:r>
      <w:r w:rsidRPr="00A86354">
        <w:rPr>
          <w:rFonts w:ascii="Arial" w:hAnsi="Arial" w:cs="Arial" w:eastAsiaTheme="minorHAnsi"/>
          <w:color w:val="000000"/>
          <w:sz w:val="20"/>
          <w:szCs w:val="20"/>
          <w:lang w:val="fr-FR" w:eastAsia="en-US"/>
        </w:rPr>
        <w:t xml:space="preserve"> </w:t>
      </w:r>
    </w:p>
    <w:p w:rsidRPr="00A86354" w:rsidR="009B49C3" w:rsidP="00DB7D6D" w:rsidRDefault="00085E21" w14:paraId="24D1E164" w14:textId="0D4751E2">
      <w:pPr>
        <w:autoSpaceDE w:val="0"/>
        <w:autoSpaceDN w:val="0"/>
        <w:adjustRightInd w:val="0"/>
        <w:ind w:left="709"/>
        <w:rPr>
          <w:rFonts w:ascii="Arial" w:hAnsi="Arial" w:cs="Arial" w:eastAsiaTheme="minorHAnsi"/>
          <w:color w:val="000000"/>
          <w:sz w:val="20"/>
          <w:szCs w:val="20"/>
          <w:lang w:val="fr-FR" w:eastAsia="en-US"/>
        </w:rPr>
      </w:pPr>
      <w:r w:rsidRPr="00A86354">
        <w:rPr>
          <w:rFonts w:ascii="Arial" w:hAnsi="Arial" w:cs="Arial" w:eastAsiaTheme="minorHAnsi"/>
          <w:color w:val="000000"/>
          <w:sz w:val="20"/>
          <w:szCs w:val="20"/>
          <w:lang w:val="fr-FR" w:eastAsia="en-US"/>
        </w:rPr>
        <w:t xml:space="preserve">(c) </w:t>
      </w:r>
      <w:r w:rsidRPr="00A86354" w:rsidR="006656EE">
        <w:rPr>
          <w:rFonts w:ascii="Arial" w:hAnsi="Arial" w:cs="Arial" w:eastAsiaTheme="minorHAnsi"/>
          <w:color w:val="000000"/>
          <w:sz w:val="20"/>
          <w:szCs w:val="20"/>
          <w:lang w:val="fr-FR" w:eastAsia="en-US"/>
        </w:rPr>
        <w:t>d</w:t>
      </w:r>
      <w:r w:rsidRPr="00A86354" w:rsidR="0006032C">
        <w:rPr>
          <w:rFonts w:ascii="Arial" w:hAnsi="Arial" w:cs="Arial" w:eastAsiaTheme="minorHAnsi"/>
          <w:color w:val="000000"/>
          <w:sz w:val="20"/>
          <w:szCs w:val="20"/>
          <w:lang w:val="fr-FR" w:eastAsia="en-US"/>
        </w:rPr>
        <w:t>’</w:t>
      </w:r>
      <w:r w:rsidRPr="00A86354" w:rsidR="00C84D68">
        <w:rPr>
          <w:rFonts w:ascii="Arial" w:hAnsi="Arial" w:cs="Arial" w:eastAsiaTheme="minorHAnsi"/>
          <w:color w:val="000000"/>
          <w:sz w:val="20"/>
          <w:szCs w:val="20"/>
          <w:lang w:val="fr-FR" w:eastAsia="en-US"/>
        </w:rPr>
        <w:t>étendre à toutes les grandes villes du pays les initiatives prévoyant des modalités d</w:t>
      </w:r>
      <w:r w:rsidRPr="00A86354" w:rsidR="0006032C">
        <w:rPr>
          <w:rFonts w:ascii="Arial" w:hAnsi="Arial" w:cs="Arial" w:eastAsiaTheme="minorHAnsi"/>
          <w:color w:val="000000"/>
          <w:sz w:val="20"/>
          <w:szCs w:val="20"/>
          <w:lang w:val="fr-FR" w:eastAsia="en-US"/>
        </w:rPr>
        <w:t>’</w:t>
      </w:r>
      <w:r w:rsidRPr="00A86354" w:rsidR="00C84D68">
        <w:rPr>
          <w:rFonts w:ascii="Arial" w:hAnsi="Arial" w:cs="Arial" w:eastAsiaTheme="minorHAnsi"/>
          <w:color w:val="000000"/>
          <w:sz w:val="20"/>
          <w:szCs w:val="20"/>
          <w:lang w:val="fr-FR" w:eastAsia="en-US"/>
        </w:rPr>
        <w:t>hébergement adaptées, qui offrent une aide de proximité aux personnes handicapées.</w:t>
      </w:r>
      <w:r w:rsidRPr="00A86354" w:rsidR="000807D5">
        <w:rPr>
          <w:rFonts w:ascii="Arial" w:hAnsi="Arial" w:cs="Arial" w:eastAsiaTheme="minorHAnsi"/>
          <w:color w:val="000000"/>
          <w:sz w:val="20"/>
          <w:szCs w:val="20"/>
          <w:lang w:val="fr-FR" w:eastAsia="en-US"/>
        </w:rPr>
        <w:t> »</w:t>
      </w:r>
    </w:p>
    <w:p w:rsidRPr="00A86354" w:rsidR="007E2CDC" w:rsidP="00164744" w:rsidRDefault="007E2CDC" w14:paraId="508C61C9" w14:textId="1C50DE7A">
      <w:pPr>
        <w:keepNext/>
        <w:keepLines/>
        <w:tabs>
          <w:tab w:val="left" w:pos="709"/>
        </w:tabs>
        <w:outlineLvl w:val="0"/>
        <w:rPr>
          <w:rFonts w:ascii="Arial" w:hAnsi="Arial" w:cs="Arial" w:eastAsiaTheme="majorEastAsia"/>
          <w:b/>
          <w:bCs/>
          <w:szCs w:val="28"/>
          <w:lang w:val="fr-FR"/>
        </w:rPr>
      </w:pPr>
    </w:p>
    <w:p w:rsidRPr="00A86354" w:rsidR="000F5035" w:rsidP="00164744" w:rsidRDefault="000F5035" w14:paraId="6573AC82" w14:textId="77777777">
      <w:pPr>
        <w:keepNext/>
        <w:keepLines/>
        <w:tabs>
          <w:tab w:val="left" w:pos="709"/>
        </w:tabs>
        <w:outlineLvl w:val="0"/>
        <w:rPr>
          <w:rFonts w:ascii="Arial" w:hAnsi="Arial" w:cs="Arial" w:eastAsiaTheme="majorEastAsia"/>
          <w:b/>
          <w:bCs/>
          <w:szCs w:val="28"/>
          <w:lang w:val="fr-FR"/>
        </w:rPr>
      </w:pPr>
    </w:p>
    <w:p w:rsidRPr="00A86354" w:rsidR="00164744" w:rsidP="00164744" w:rsidRDefault="00FB4F0C" w14:paraId="3257955C" w14:textId="5BB1C326">
      <w:pPr>
        <w:keepNext/>
        <w:keepLines/>
        <w:tabs>
          <w:tab w:val="left" w:pos="709"/>
        </w:tabs>
        <w:outlineLvl w:val="0"/>
        <w:rPr>
          <w:rFonts w:ascii="Arial" w:hAnsi="Arial" w:cs="Arial" w:eastAsiaTheme="majorEastAsia"/>
          <w:b/>
          <w:bCs/>
          <w:szCs w:val="28"/>
          <w:lang w:val="fr-FR"/>
        </w:rPr>
      </w:pPr>
      <w:r w:rsidRPr="00A86354">
        <w:rPr>
          <w:rFonts w:ascii="Arial" w:hAnsi="Arial" w:cs="Arial" w:eastAsiaTheme="majorEastAsia"/>
          <w:b/>
          <w:bCs/>
          <w:szCs w:val="28"/>
          <w:lang w:val="fr-FR"/>
        </w:rPr>
        <w:t>EN DROIT</w:t>
      </w:r>
      <w:r w:rsidRPr="00A86354" w:rsidR="00164744">
        <w:rPr>
          <w:rFonts w:ascii="Arial" w:hAnsi="Arial" w:cs="Arial" w:eastAsiaTheme="majorEastAsia"/>
          <w:b/>
          <w:bCs/>
          <w:szCs w:val="28"/>
          <w:lang w:val="fr-FR"/>
        </w:rPr>
        <w:t xml:space="preserve"> </w:t>
      </w:r>
    </w:p>
    <w:p w:rsidRPr="00A86354" w:rsidR="00164744" w:rsidP="00164744" w:rsidRDefault="00164744" w14:paraId="6509CA07" w14:textId="77777777">
      <w:pPr>
        <w:tabs>
          <w:tab w:val="left" w:pos="709"/>
        </w:tabs>
        <w:ind w:right="282"/>
        <w:rPr>
          <w:rFonts w:ascii="Arial" w:hAnsi="Arial" w:cs="Arial"/>
          <w:b/>
          <w:lang w:val="fr-FR"/>
        </w:rPr>
      </w:pPr>
    </w:p>
    <w:p w:rsidRPr="00A86354" w:rsidR="00164744" w:rsidP="00164744" w:rsidRDefault="00B22C19" w14:paraId="4398660E" w14:textId="195665B2">
      <w:pPr>
        <w:tabs>
          <w:tab w:val="left" w:pos="709"/>
        </w:tabs>
        <w:ind w:right="282"/>
        <w:rPr>
          <w:rFonts w:ascii="Arial" w:hAnsi="Arial" w:cs="Arial"/>
          <w:b/>
          <w:lang w:val="fr-FR"/>
        </w:rPr>
      </w:pPr>
      <w:r w:rsidRPr="00A86354">
        <w:rPr>
          <w:rFonts w:ascii="Arial" w:hAnsi="Arial" w:cs="Arial"/>
          <w:b/>
          <w:lang w:val="fr-FR"/>
        </w:rPr>
        <w:t>OBSERVATIONS LIMINAIRES</w:t>
      </w:r>
    </w:p>
    <w:p w:rsidRPr="00A86354" w:rsidR="00164744" w:rsidP="00164744" w:rsidRDefault="00164744" w14:paraId="55DF8885" w14:textId="1AB479F8">
      <w:pPr>
        <w:rPr>
          <w:rFonts w:ascii="Arial" w:hAnsi="Arial" w:cs="Arial"/>
          <w:lang w:val="fr-FR"/>
        </w:rPr>
      </w:pPr>
    </w:p>
    <w:p w:rsidRPr="00A86354" w:rsidR="004926F6" w:rsidP="00CE016A" w:rsidRDefault="004926F6" w14:paraId="268A3997" w14:textId="1C1560F4">
      <w:pPr>
        <w:pStyle w:val="ListParagraph"/>
        <w:numPr>
          <w:ilvl w:val="0"/>
          <w:numId w:val="1"/>
        </w:numPr>
        <w:ind w:left="0" w:firstLine="0"/>
        <w:rPr>
          <w:lang w:val="fr-FR"/>
        </w:rPr>
      </w:pPr>
      <w:r w:rsidRPr="00A86354">
        <w:rPr>
          <w:lang w:val="fr-FR"/>
        </w:rPr>
        <w:t xml:space="preserve">Le Comité constate que les différentes dispositions invoquées par les organisations réclamantes sont étroitement liées au droit à l'indépendance, à l'intégration sociale et à la participation à la vie de la communauté garanti par l'article 15 de la Charte, et qu'elles sont effectivement invoquées en tant que composantes de ce droit.    </w:t>
      </w:r>
    </w:p>
    <w:p w:rsidRPr="00A86354" w:rsidR="00FF47AF" w:rsidP="00FF47AF" w:rsidRDefault="00FF47AF" w14:paraId="1820EBFE" w14:textId="77777777">
      <w:pPr>
        <w:ind w:left="360" w:hanging="360"/>
        <w:rPr>
          <w:rFonts w:ascii="Arial" w:hAnsi="Arial" w:cs="Arial"/>
          <w:lang w:val="fr-FR"/>
        </w:rPr>
      </w:pPr>
    </w:p>
    <w:p w:rsidRPr="00A86354" w:rsidR="00FF47AF" w:rsidP="00CE016A" w:rsidRDefault="00FF47AF" w14:paraId="420A1CFB" w14:textId="77777777">
      <w:pPr>
        <w:pStyle w:val="ListParagraph"/>
        <w:keepNext/>
        <w:numPr>
          <w:ilvl w:val="0"/>
          <w:numId w:val="1"/>
        </w:numPr>
        <w:ind w:left="0" w:firstLine="0"/>
        <w:rPr>
          <w:lang w:val="fr-FR"/>
        </w:rPr>
      </w:pPr>
      <w:r w:rsidRPr="00A86354">
        <w:rPr>
          <w:lang w:val="fr-FR"/>
        </w:rPr>
        <w:t>Le Comité rappelle que les auteurs de la Charte ont procédé à une modification substantielle de l’article 15 par rapport au texte de la Charte de 1961. Le Rapport explicatif de la Charte éclaire ainsi la nouvelle dimension de l’article 15 :</w:t>
      </w:r>
    </w:p>
    <w:p w:rsidRPr="00A86354" w:rsidR="00FF47AF" w:rsidP="00A86354" w:rsidRDefault="00FF47AF" w14:paraId="19069B62" w14:textId="77777777">
      <w:pPr>
        <w:pStyle w:val="ListParagraph"/>
        <w:keepNext/>
        <w:rPr>
          <w:lang w:val="fr-FR"/>
        </w:rPr>
      </w:pPr>
    </w:p>
    <w:p w:rsidRPr="00A86354" w:rsidR="00FF47AF" w:rsidP="00A86354" w:rsidRDefault="00FF47AF" w14:paraId="2D83BC0B" w14:textId="77777777">
      <w:pPr>
        <w:ind w:left="709"/>
        <w:rPr>
          <w:rFonts w:ascii="Arial" w:hAnsi="Arial" w:cs="Arial" w:eastAsiaTheme="minorHAnsi"/>
          <w:sz w:val="20"/>
          <w:szCs w:val="20"/>
          <w:lang w:val="fr-FR"/>
        </w:rPr>
      </w:pPr>
      <w:r w:rsidRPr="00A86354">
        <w:rPr>
          <w:rFonts w:ascii="Arial" w:hAnsi="Arial" w:cs="Arial" w:eastAsiaTheme="minorHAnsi"/>
          <w:sz w:val="20"/>
          <w:szCs w:val="20"/>
          <w:lang w:val="fr-FR"/>
        </w:rPr>
        <w:t xml:space="preserve">« 63. La protection des handicapés prévue par cet article est plus étendue que celle qui était prévue par l’article 15 de la Charte : en effet, elle ne s’applique plus seulement à la formation et à la réadaptation professionnelles, mais elle prévoit le droit des personnes handicapées à </w:t>
      </w:r>
      <w:r w:rsidRPr="00A86354">
        <w:rPr>
          <w:rFonts w:ascii="Arial" w:hAnsi="Arial" w:cs="Arial" w:eastAsiaTheme="minorHAnsi"/>
          <w:sz w:val="20"/>
          <w:szCs w:val="20"/>
          <w:lang w:val="fr-FR"/>
        </w:rPr>
        <w:lastRenderedPageBreak/>
        <w:t>l’autonomie et à l’intégration sociale ainsi qu’à la participation à la vie de la communauté. L’expression "l’exercice effectif du droit à l’autonomie" figurant dans la phrase introductive de cette disposition implique notamment que les personnes handicapées doivent avoir droit à une vie autonome.</w:t>
      </w:r>
    </w:p>
    <w:p w:rsidRPr="00A86354" w:rsidR="00FF47AF" w:rsidP="00A86354" w:rsidRDefault="00FF47AF" w14:paraId="31D1C9BD" w14:textId="77777777">
      <w:pPr>
        <w:ind w:left="709"/>
        <w:rPr>
          <w:rFonts w:ascii="Arial" w:hAnsi="Arial" w:cs="Arial" w:eastAsiaTheme="minorHAnsi"/>
          <w:sz w:val="20"/>
          <w:szCs w:val="20"/>
          <w:lang w:val="fr-FR"/>
        </w:rPr>
      </w:pPr>
    </w:p>
    <w:p w:rsidRPr="00A86354" w:rsidR="00FF47AF" w:rsidP="00A86354" w:rsidRDefault="00FF47AF" w14:paraId="58352609" w14:textId="77777777">
      <w:pPr>
        <w:ind w:left="709"/>
        <w:rPr>
          <w:rFonts w:ascii="Arial" w:hAnsi="Arial" w:cs="Arial" w:eastAsiaTheme="minorHAnsi"/>
          <w:sz w:val="20"/>
          <w:szCs w:val="20"/>
          <w:lang w:val="fr-FR"/>
        </w:rPr>
      </w:pPr>
      <w:r w:rsidRPr="00A86354">
        <w:rPr>
          <w:rFonts w:ascii="Arial" w:hAnsi="Arial" w:cs="Arial" w:eastAsiaTheme="minorHAnsi"/>
          <w:sz w:val="20"/>
          <w:szCs w:val="20"/>
          <w:lang w:val="fr-FR"/>
        </w:rPr>
        <w:t>64. Selon cette disposition, les Parties doivent avoir pour but de développer une politique cohérente pour les personnes handicapées. Cette disposition repose sur une approche moderne […] de la façon d’assurer la protection des personnes handicapées [et] ne prévoit pas seulement la possibilité pour les Parties d’adopter des mesures positives en faveur des handicapés, mais dans une large mesure les oblige à le faire. »</w:t>
      </w:r>
    </w:p>
    <w:p w:rsidRPr="00A86354" w:rsidR="00FF47AF" w:rsidP="00FF47AF" w:rsidRDefault="00FF47AF" w14:paraId="0A0100F6" w14:textId="77777777">
      <w:pPr>
        <w:rPr>
          <w:rFonts w:ascii="Arial" w:hAnsi="Arial" w:cs="Arial"/>
          <w:lang w:val="fr-FR"/>
        </w:rPr>
      </w:pPr>
    </w:p>
    <w:p w:rsidRPr="00A86354" w:rsidR="00FF47AF" w:rsidP="00CE016A" w:rsidRDefault="00FF47AF" w14:paraId="638EA11A" w14:textId="79CECB50">
      <w:pPr>
        <w:pStyle w:val="ListParagraph"/>
        <w:numPr>
          <w:ilvl w:val="0"/>
          <w:numId w:val="1"/>
        </w:numPr>
        <w:ind w:left="0" w:firstLine="0"/>
        <w:rPr>
          <w:lang w:val="fr-FR"/>
        </w:rPr>
      </w:pPr>
      <w:r w:rsidRPr="00A86354">
        <w:rPr>
          <w:lang w:val="fr-FR"/>
        </w:rPr>
        <w:t>Le but même de l’article 15, selon son libellé, est d’assurer le « droit des personnes handicapées à l’autonomie, à l’intégration sociale et à la participation à la vie de la communauté » et chacun des paragraphes de la disposition concourt à la réalisation de cet objectif. Aux termes du paragraphe 3, les États ont l’obligation de favoriser la pleine intégration et participation à la vie sociale des personnes handicapées, « </w:t>
      </w:r>
      <w:r w:rsidRPr="00A86354">
        <w:rPr>
          <w:i/>
          <w:iCs/>
          <w:lang w:val="fr-FR"/>
        </w:rPr>
        <w:t>notamment par des mesures, y compris des aides techniques, visant à surmonter des obstacles à la communication et à la mobilité et à leur permettre d’accéder aux transports, au logement, aux activités culturelles et aux loisirs</w:t>
      </w:r>
      <w:r w:rsidRPr="00A86354">
        <w:rPr>
          <w:lang w:val="fr-FR"/>
        </w:rPr>
        <w:t xml:space="preserve"> ». En conséquence, l’article 15§3 prévoit différentes mesures, qui comprennent, sans s’y limiter, la mise à disposition d’aides techniques et l’accessibilité de l’information, des transports et du logement, dont chacune apparaît comme un moyen d’atteindre les finalités suprêmes que sont l’autonomie, l’intégration et la participation (voir, par exemple, Action européenne des handicapés (AEH) c. </w:t>
      </w:r>
      <w:bookmarkStart w:name="_Hlk121302780" w:id="8"/>
      <w:r w:rsidRPr="00A86354">
        <w:rPr>
          <w:lang w:val="fr-FR"/>
        </w:rPr>
        <w:t>France, réclamation n° 81/2012</w:t>
      </w:r>
      <w:bookmarkEnd w:id="8"/>
      <w:r w:rsidRPr="00A86354">
        <w:rPr>
          <w:lang w:val="fr-FR"/>
        </w:rPr>
        <w:t>,</w:t>
      </w:r>
      <w:r w:rsidRPr="00A86354" w:rsidR="004926F6">
        <w:rPr>
          <w:lang w:val="fr-FR"/>
        </w:rPr>
        <w:t xml:space="preserve"> décision sur le bien-fondé du 11 septembre 2013</w:t>
      </w:r>
      <w:r w:rsidRPr="00A86354" w:rsidR="00D047BA">
        <w:rPr>
          <w:lang w:val="fr-FR"/>
        </w:rPr>
        <w:t xml:space="preserve">, par. </w:t>
      </w:r>
      <w:r w:rsidRPr="00A86354">
        <w:rPr>
          <w:lang w:val="fr-FR"/>
        </w:rPr>
        <w:t>29).</w:t>
      </w:r>
    </w:p>
    <w:p w:rsidRPr="00A86354" w:rsidR="00FF47AF" w:rsidP="00FF47AF" w:rsidRDefault="00FF47AF" w14:paraId="71C74413" w14:textId="77777777">
      <w:pPr>
        <w:pStyle w:val="ListParagraph"/>
        <w:rPr>
          <w:lang w:val="fr-FR"/>
        </w:rPr>
      </w:pPr>
    </w:p>
    <w:p w:rsidRPr="00A86354" w:rsidR="00FF47AF" w:rsidP="00CE016A" w:rsidRDefault="00FF47AF" w14:paraId="048B80BF" w14:textId="77777777">
      <w:pPr>
        <w:pStyle w:val="ListParagraph"/>
        <w:numPr>
          <w:ilvl w:val="0"/>
          <w:numId w:val="1"/>
        </w:numPr>
        <w:ind w:left="0" w:firstLine="0"/>
        <w:rPr>
          <w:lang w:val="fr-FR"/>
        </w:rPr>
      </w:pPr>
      <w:r w:rsidRPr="00A86354">
        <w:rPr>
          <w:lang w:val="fr-FR"/>
        </w:rPr>
        <w:t>Le Comité a également souligné, dans ses conclusions, l’importance des « services de soutien » tels que des aides ménagères ou des auxiliaires de vie, qui doivent être proposés pour une bonne mise en œuvre du droit à l’autonomie, à l’intégration sociale et à la participation à la vie de la communauté (Conclusions 2008, observation interprétative de l’article 15§3). En outre, dans son appréciation au titre de l’article 15§3, il vérifie si les besoins des personnes handicapées sont pris en compte dans les politiques du logement (le droit au logement est garanti par l’article 31), notamment par la construction et l’offre d’un parc suffisant de logements sociaux, publics ou privés qui leur soient adaptés (Conclusions 2003, Italie, article 15§3).</w:t>
      </w:r>
    </w:p>
    <w:p w:rsidRPr="00A86354" w:rsidR="00FF47AF" w:rsidP="00A86354" w:rsidRDefault="00FF47AF" w14:paraId="76D6CBF7" w14:textId="77777777">
      <w:pPr>
        <w:pStyle w:val="ListParagraph"/>
        <w:rPr>
          <w:lang w:val="fr-FR"/>
        </w:rPr>
      </w:pPr>
    </w:p>
    <w:p w:rsidRPr="00A86354" w:rsidR="00FF47AF" w:rsidP="00CE016A" w:rsidRDefault="00FF47AF" w14:paraId="295BC5DB" w14:textId="0D5ABA78">
      <w:pPr>
        <w:pStyle w:val="ListParagraph"/>
        <w:numPr>
          <w:ilvl w:val="0"/>
          <w:numId w:val="1"/>
        </w:numPr>
        <w:ind w:left="0" w:firstLine="0"/>
        <w:rPr>
          <w:lang w:val="fr-FR"/>
        </w:rPr>
      </w:pPr>
      <w:r w:rsidRPr="00A86354">
        <w:rPr>
          <w:lang w:val="fr-FR"/>
        </w:rPr>
        <w:t xml:space="preserve">Le Comité a également estimé, dans ses conclusions relatives à l’article 15§3, que la pauvreté (contre laquelle </w:t>
      </w:r>
      <w:r w:rsidRPr="00A86354" w:rsidR="00D047BA">
        <w:rPr>
          <w:lang w:val="fr-FR"/>
        </w:rPr>
        <w:t xml:space="preserve">la protection est garanti par </w:t>
      </w:r>
      <w:r w:rsidRPr="00A86354">
        <w:rPr>
          <w:lang w:val="fr-FR"/>
        </w:rPr>
        <w:t>l’article 30 de la Charte) qui touche les personnes handicapées dans un État partie est un indicateur important de l’efficacité des efforts déployés par cet État pour assurer aux personnes handicapées l’exercice de leur droit à l’autonomie, à l’intégration sociale et à la participation à la vie de la communauté (voir, par exemple, Conclusions 2020, Andorre, article 15§3).</w:t>
      </w:r>
    </w:p>
    <w:p w:rsidRPr="00A86354" w:rsidR="00FF47AF" w:rsidP="00FF47AF" w:rsidRDefault="00FF47AF" w14:paraId="40C2379A" w14:textId="77777777">
      <w:pPr>
        <w:rPr>
          <w:rFonts w:ascii="Arial" w:hAnsi="Arial" w:cs="Arial"/>
          <w:lang w:val="fr-FR"/>
        </w:rPr>
      </w:pPr>
    </w:p>
    <w:p w:rsidRPr="00A86354" w:rsidR="00FF47AF" w:rsidP="00CE016A" w:rsidRDefault="00FF47AF" w14:paraId="75DBEF00" w14:textId="096BB90E">
      <w:pPr>
        <w:pStyle w:val="ListParagraph"/>
        <w:numPr>
          <w:ilvl w:val="0"/>
          <w:numId w:val="1"/>
        </w:numPr>
        <w:ind w:left="0" w:firstLine="0"/>
        <w:rPr>
          <w:lang w:val="fr-FR"/>
        </w:rPr>
      </w:pPr>
      <w:r w:rsidRPr="00A86354">
        <w:rPr>
          <w:lang w:val="fr-FR"/>
        </w:rPr>
        <w:t xml:space="preserve">Dans la mesure où le droit garanti par l’article 15§3 de la Charte présente plusieurs facettes et un caractère complexe, le Comité décide de ne pas examiner séparément les allégations formulées </w:t>
      </w:r>
      <w:r w:rsidR="00B7440C">
        <w:rPr>
          <w:lang w:val="fr-FR"/>
        </w:rPr>
        <w:t xml:space="preserve">au titre </w:t>
      </w:r>
      <w:r w:rsidRPr="00B7440C" w:rsidR="00B7440C">
        <w:rPr>
          <w:lang w:val="fr-FR"/>
        </w:rPr>
        <w:t xml:space="preserve">de l’article E en </w:t>
      </w:r>
      <w:r w:rsidR="00B7440C">
        <w:rPr>
          <w:lang w:val="fr-FR"/>
        </w:rPr>
        <w:t>combinaison</w:t>
      </w:r>
      <w:r w:rsidRPr="00B7440C" w:rsidR="00B7440C">
        <w:rPr>
          <w:lang w:val="fr-FR"/>
        </w:rPr>
        <w:t xml:space="preserve"> avec les articles 14§1 et 31§§1 et 3, et l’article 30 de la Charte</w:t>
      </w:r>
      <w:r w:rsidRPr="00A86354">
        <w:rPr>
          <w:lang w:val="fr-FR"/>
        </w:rPr>
        <w:t xml:space="preserve">. Il apparaît en effet que, dans les circonstances de l’espèce, ces allégations sont englobées dans la question plus large de savoir si l’article 15§3 de la Charte a été </w:t>
      </w:r>
      <w:r w:rsidRPr="00A86354" w:rsidR="00662305">
        <w:rPr>
          <w:lang w:val="fr-FR"/>
        </w:rPr>
        <w:t xml:space="preserve">appliqué de manière satisfaisante. </w:t>
      </w:r>
    </w:p>
    <w:p w:rsidRPr="00A86354" w:rsidR="00FF47AF" w:rsidP="00A86354" w:rsidRDefault="00FF47AF" w14:paraId="116CCDF6" w14:textId="77777777">
      <w:pPr>
        <w:pStyle w:val="ListParagraph"/>
        <w:rPr>
          <w:lang w:val="fr-FR"/>
        </w:rPr>
      </w:pPr>
    </w:p>
    <w:p w:rsidRPr="00A86354" w:rsidR="00FF47AF" w:rsidP="00CE016A" w:rsidRDefault="00FF47AF" w14:paraId="16260CB1" w14:textId="4DB68D5D">
      <w:pPr>
        <w:pStyle w:val="ListParagraph"/>
        <w:numPr>
          <w:ilvl w:val="0"/>
          <w:numId w:val="1"/>
        </w:numPr>
        <w:ind w:left="0" w:firstLine="0"/>
        <w:rPr>
          <w:lang w:val="fr-FR"/>
        </w:rPr>
      </w:pPr>
      <w:r w:rsidRPr="00A86354">
        <w:rPr>
          <w:lang w:val="fr-FR"/>
        </w:rPr>
        <w:lastRenderedPageBreak/>
        <w:t xml:space="preserve">S’agissant des allégations concernant l’absence d’accès à l’éducation des enfants et adolescents handicapés dans des classes inclusives ordinaires, le Comité note que les organisations réclamantes mentionnent des problèmes d’accès à l’éducation et d’insuffisance des dispositifs d’accompagnement dans le cadre scolaire, qui reflètent les lacunes des démarches entreprises par l’État au sujet de l’article 15§3 sur le droit à l’autonomie, à l’intégration sociale et à la participation à la vie de la communauté. Les organisations réclamantes n’allèguent pas expressément de violation de l’article 15§1 de la Charte. Néanmoins, le droit à l’éducation inclusive dans une école ordinaire et le droit à l’aide humaine nécessaire dans ce contexte étant garantis par l’article 15§1 (voir, par exemple, Centre de défense des droits des personnes handicapées mentales (MDAC) c. Belgique, réclamation n° 109/2014, </w:t>
      </w:r>
      <w:r w:rsidRPr="00A86354" w:rsidR="00662305">
        <w:rPr>
          <w:lang w:val="fr-FR"/>
        </w:rPr>
        <w:t xml:space="preserve">décision sur </w:t>
      </w:r>
      <w:r w:rsidRPr="00A86354" w:rsidR="00D531BD">
        <w:rPr>
          <w:lang w:val="fr-FR"/>
        </w:rPr>
        <w:t>la recevabilité et</w:t>
      </w:r>
      <w:r w:rsidR="008532B8">
        <w:rPr>
          <w:lang w:val="fr-FR"/>
        </w:rPr>
        <w:t xml:space="preserve"> </w:t>
      </w:r>
      <w:r w:rsidRPr="00A86354" w:rsidR="00662305">
        <w:rPr>
          <w:lang w:val="fr-FR"/>
        </w:rPr>
        <w:t xml:space="preserve">le bien-fondé du </w:t>
      </w:r>
      <w:r w:rsidRPr="00A86354">
        <w:rPr>
          <w:lang w:val="fr-FR"/>
        </w:rPr>
        <w:t xml:space="preserve">16 octobre 2017, </w:t>
      </w:r>
      <w:r w:rsidRPr="00A86354" w:rsidR="00D047BA">
        <w:rPr>
          <w:lang w:val="fr-FR"/>
        </w:rPr>
        <w:t xml:space="preserve">par. </w:t>
      </w:r>
      <w:r w:rsidRPr="00A86354">
        <w:rPr>
          <w:lang w:val="fr-FR"/>
        </w:rPr>
        <w:t xml:space="preserve"> 72 ; Action européenne des handicapés (AEH) c. </w:t>
      </w:r>
      <w:r w:rsidRPr="00A86354" w:rsidR="00E96536">
        <w:rPr>
          <w:lang w:val="fr-FR"/>
        </w:rPr>
        <w:t>France, réclamation n° 81/2012</w:t>
      </w:r>
      <w:r w:rsidRPr="00A86354">
        <w:rPr>
          <w:lang w:val="fr-FR"/>
        </w:rPr>
        <w:t xml:space="preserve">, </w:t>
      </w:r>
      <w:r w:rsidRPr="00A86354" w:rsidR="00662305">
        <w:rPr>
          <w:i/>
          <w:iCs/>
          <w:lang w:val="fr-FR"/>
        </w:rPr>
        <w:t>op. cit.</w:t>
      </w:r>
      <w:r w:rsidRPr="00A86354">
        <w:rPr>
          <w:lang w:val="fr-FR"/>
        </w:rPr>
        <w:t xml:space="preserve">, </w:t>
      </w:r>
      <w:r w:rsidRPr="00A86354" w:rsidR="00D047BA">
        <w:rPr>
          <w:lang w:val="fr-FR"/>
        </w:rPr>
        <w:t>paragraphes</w:t>
      </w:r>
      <w:r w:rsidRPr="00A86354">
        <w:rPr>
          <w:lang w:val="fr-FR"/>
        </w:rPr>
        <w:t> 80-81), le Comité examin</w:t>
      </w:r>
      <w:r w:rsidRPr="00A86354" w:rsidR="00D047BA">
        <w:rPr>
          <w:lang w:val="fr-FR"/>
        </w:rPr>
        <w:t>era</w:t>
      </w:r>
      <w:r w:rsidRPr="00A86354">
        <w:rPr>
          <w:lang w:val="fr-FR"/>
        </w:rPr>
        <w:t xml:space="preserve"> ces griefs sur le terrain de l’article 15§1 de la Charte.</w:t>
      </w:r>
    </w:p>
    <w:p w:rsidRPr="00A86354" w:rsidR="00FF47AF" w:rsidP="00FF47AF" w:rsidRDefault="00FF47AF" w14:paraId="4CC1B03A" w14:textId="77777777">
      <w:pPr>
        <w:ind w:left="360" w:hanging="360"/>
        <w:rPr>
          <w:rFonts w:ascii="Arial" w:hAnsi="Arial" w:cs="Arial"/>
          <w:lang w:val="fr-FR"/>
        </w:rPr>
      </w:pPr>
    </w:p>
    <w:p w:rsidRPr="00A86354" w:rsidR="00FF47AF" w:rsidP="00CE016A" w:rsidRDefault="00FF47AF" w14:paraId="3D927750" w14:textId="77777777">
      <w:pPr>
        <w:pStyle w:val="ListParagraph"/>
        <w:numPr>
          <w:ilvl w:val="0"/>
          <w:numId w:val="1"/>
        </w:numPr>
        <w:ind w:left="0" w:firstLine="0"/>
        <w:rPr>
          <w:lang w:val="fr-FR"/>
        </w:rPr>
      </w:pPr>
      <w:r w:rsidRPr="00A86354">
        <w:rPr>
          <w:lang w:val="fr-FR"/>
        </w:rPr>
        <w:t xml:space="preserve">Quant aux allégations des organisations réclamantes concernant l’absence d’accessibilité des </w:t>
      </w:r>
      <w:bookmarkStart w:name="_Hlk115854878" w:id="9"/>
      <w:r w:rsidRPr="00A86354">
        <w:rPr>
          <w:lang w:val="fr-FR"/>
        </w:rPr>
        <w:t>services et équipements de santé</w:t>
      </w:r>
      <w:bookmarkEnd w:id="9"/>
      <w:r w:rsidRPr="00A86354">
        <w:rPr>
          <w:lang w:val="fr-FR"/>
        </w:rPr>
        <w:t>, elles seront examinées séparément sous l’angle de l’article 11§1 de la Charte.</w:t>
      </w:r>
    </w:p>
    <w:p w:rsidRPr="00A86354" w:rsidR="00FF47AF" w:rsidP="00FF47AF" w:rsidRDefault="00FF47AF" w14:paraId="36F81486" w14:textId="77777777">
      <w:pPr>
        <w:rPr>
          <w:rFonts w:ascii="Arial" w:hAnsi="Arial" w:cs="Arial"/>
          <w:lang w:val="fr-FR"/>
        </w:rPr>
      </w:pPr>
    </w:p>
    <w:p w:rsidRPr="00A86354" w:rsidR="00FF47AF" w:rsidP="00CE016A" w:rsidRDefault="00662305" w14:paraId="66383810" w14:textId="3D4B1E3E">
      <w:pPr>
        <w:pStyle w:val="ListParagraph"/>
        <w:numPr>
          <w:ilvl w:val="0"/>
          <w:numId w:val="1"/>
        </w:numPr>
        <w:ind w:left="0" w:firstLine="0"/>
        <w:rPr>
          <w:lang w:val="fr-FR"/>
        </w:rPr>
      </w:pPr>
      <w:r w:rsidRPr="00A86354">
        <w:rPr>
          <w:lang w:val="fr-FR"/>
        </w:rPr>
        <w:t xml:space="preserve">Le Comité note que les arguments présentés par EDF et Inclusion Europe à l'appui de leur allégation de violation de l'article 27§1 sont très similaires et indissociables de ceux présentés au titre de l'article 16 de la Charte, à savoir qu'en raison de la situation défavorisée des familles dont un ou plusieurs membres sont handicapés, la vie professionnelle de ces membres de la famille qui subviennent aux besoins de leurs proches handicapés est affectée négativement.  </w:t>
      </w:r>
    </w:p>
    <w:p w:rsidRPr="00A86354" w:rsidR="00FF47AF" w:rsidP="00FF47AF" w:rsidRDefault="00FF47AF" w14:paraId="15CBA06C" w14:textId="77777777">
      <w:pPr>
        <w:rPr>
          <w:rFonts w:ascii="Arial" w:hAnsi="Arial" w:cs="Arial"/>
          <w:lang w:val="fr-FR"/>
        </w:rPr>
      </w:pPr>
    </w:p>
    <w:p w:rsidRPr="00A86354" w:rsidR="00662305" w:rsidP="00CE016A" w:rsidRDefault="00662305" w14:paraId="6C8C769F" w14:textId="2646A37F">
      <w:pPr>
        <w:numPr>
          <w:ilvl w:val="0"/>
          <w:numId w:val="1"/>
        </w:numPr>
        <w:ind w:left="0" w:firstLine="0"/>
        <w:rPr>
          <w:rFonts w:ascii="Arial" w:hAnsi="Arial"/>
          <w:lang w:val="fr-FR"/>
        </w:rPr>
      </w:pPr>
      <w:r w:rsidRPr="00A86354">
        <w:rPr>
          <w:rFonts w:ascii="Arial" w:hAnsi="Arial"/>
          <w:lang w:val="fr-FR"/>
        </w:rPr>
        <w:t xml:space="preserve">Le Comité rappelle que dans sa décision </w:t>
      </w:r>
      <w:r w:rsidRPr="00A86354" w:rsidR="00E627A9">
        <w:rPr>
          <w:rFonts w:ascii="Arial" w:hAnsi="Arial"/>
          <w:lang w:val="fr-FR"/>
        </w:rPr>
        <w:t xml:space="preserve">dans l’affaire </w:t>
      </w:r>
      <w:r w:rsidRPr="00A86354">
        <w:rPr>
          <w:rFonts w:ascii="Arial" w:hAnsi="Arial"/>
          <w:lang w:val="fr-FR"/>
        </w:rPr>
        <w:t xml:space="preserve">Fédération internationale des droits de l'homme (FIDH) c. </w:t>
      </w:r>
      <w:bookmarkStart w:name="_Hlk121320776" w:id="10"/>
      <w:r w:rsidRPr="00A86354" w:rsidR="004E3D9E">
        <w:rPr>
          <w:rFonts w:ascii="Arial" w:hAnsi="Arial"/>
          <w:lang w:val="fr-FR"/>
        </w:rPr>
        <w:t xml:space="preserve">Belgique, </w:t>
      </w:r>
      <w:r w:rsidRPr="00A86354">
        <w:rPr>
          <w:rFonts w:ascii="Arial" w:hAnsi="Arial"/>
          <w:lang w:val="fr-FR"/>
        </w:rPr>
        <w:t>réclamation n° 75/2011</w:t>
      </w:r>
      <w:bookmarkEnd w:id="10"/>
      <w:r w:rsidRPr="00A86354">
        <w:rPr>
          <w:rFonts w:ascii="Arial" w:hAnsi="Arial"/>
          <w:lang w:val="fr-FR"/>
        </w:rPr>
        <w:t xml:space="preserve">, décision sur le bien-fondé du 18 mars 2013, il a considéré que </w:t>
      </w:r>
      <w:r w:rsidRPr="00A86354">
        <w:rPr>
          <w:rFonts w:ascii="Arial" w:hAnsi="Arial" w:eastAsia="Calibri" w:cs="Arial"/>
          <w:color w:val="000000"/>
          <w:lang w:val="fr-FR"/>
        </w:rPr>
        <w:t>la pénurie de solutions de prise en charge et de services sociaux adaptés aux besoins des personnes atteintes d'un handicap sévère entraînait la précarisation de nombreuses familles, mettant à mal leur cohésion. Selon le Comité, cela équivalait à un manque de protection de la famille en tant que cellule de la société, en violation de l'article 16 de la Charte (</w:t>
      </w:r>
      <w:r w:rsidRPr="00A86354">
        <w:rPr>
          <w:rFonts w:ascii="Arial" w:hAnsi="Arial" w:eastAsia="Calibri" w:cs="Arial"/>
          <w:i/>
          <w:iCs/>
          <w:color w:val="000000"/>
          <w:lang w:val="fr-FR"/>
        </w:rPr>
        <w:t>ibid.</w:t>
      </w:r>
      <w:r w:rsidRPr="00B7440C">
        <w:rPr>
          <w:rFonts w:ascii="Arial" w:hAnsi="Arial" w:eastAsia="Calibri" w:cs="Arial"/>
          <w:color w:val="000000"/>
          <w:lang w:val="fr-FR"/>
        </w:rPr>
        <w:t xml:space="preserve">, </w:t>
      </w:r>
      <w:r w:rsidRPr="00B7440C" w:rsidR="00D047BA">
        <w:rPr>
          <w:rFonts w:ascii="Arial" w:hAnsi="Arial" w:eastAsia="Calibri" w:cs="Arial"/>
          <w:color w:val="000000"/>
          <w:lang w:val="fr-FR"/>
        </w:rPr>
        <w:t xml:space="preserve">par. </w:t>
      </w:r>
      <w:r w:rsidRPr="00A86354">
        <w:rPr>
          <w:rFonts w:ascii="Arial" w:hAnsi="Arial" w:eastAsia="Calibri" w:cs="Arial"/>
          <w:color w:val="000000"/>
          <w:lang w:val="fr-FR"/>
        </w:rPr>
        <w:t xml:space="preserve">187). Conformément à l'approche adoptée dans cette décision antérieure, le Comité décide d'examiner les allégations au regard de l'article 16 et de l'article 27 de la Charte, sous le seul angle de l'article 16.  </w:t>
      </w:r>
    </w:p>
    <w:p w:rsidRPr="00A86354" w:rsidR="00FF47AF" w:rsidP="00662305" w:rsidRDefault="00FF47AF" w14:paraId="106C4F35" w14:textId="77777777">
      <w:pPr>
        <w:rPr>
          <w:rFonts w:ascii="Arial" w:hAnsi="Arial" w:cs="Arial"/>
          <w:lang w:val="fr-FR"/>
        </w:rPr>
      </w:pPr>
    </w:p>
    <w:p w:rsidRPr="00A86354" w:rsidR="00FF47AF" w:rsidP="00CE016A" w:rsidRDefault="00662305" w14:paraId="26275196" w14:textId="55B462BA">
      <w:pPr>
        <w:numPr>
          <w:ilvl w:val="0"/>
          <w:numId w:val="1"/>
        </w:numPr>
        <w:ind w:left="0" w:firstLine="0"/>
        <w:rPr>
          <w:rFonts w:ascii="Arial" w:hAnsi="Arial"/>
          <w:lang w:val="fr-FR"/>
        </w:rPr>
      </w:pPr>
      <w:r w:rsidRPr="00A86354">
        <w:rPr>
          <w:rFonts w:ascii="Arial" w:hAnsi="Arial"/>
          <w:lang w:val="fr-FR"/>
        </w:rPr>
        <w:t xml:space="preserve">En outre, le Comité note que les arguments présentés par les organisations réclamantes à l'appui de leur allégation de violation de l'article E de la Charte, en </w:t>
      </w:r>
      <w:r w:rsidRPr="00A86354" w:rsidR="00D047BA">
        <w:rPr>
          <w:rFonts w:ascii="Arial" w:hAnsi="Arial"/>
          <w:lang w:val="fr-FR"/>
        </w:rPr>
        <w:t xml:space="preserve">combinaison </w:t>
      </w:r>
      <w:r w:rsidRPr="00A86354">
        <w:rPr>
          <w:rFonts w:ascii="Arial" w:hAnsi="Arial"/>
          <w:lang w:val="fr-FR"/>
        </w:rPr>
        <w:t>avec chacun des articles de fond qu'elles invoquent (examinés par le Comité au titre de l'article 15§</w:t>
      </w:r>
      <w:r w:rsidRPr="00A86354" w:rsidR="00D047BA">
        <w:rPr>
          <w:rFonts w:ascii="Arial" w:hAnsi="Arial"/>
          <w:lang w:val="fr-FR"/>
        </w:rPr>
        <w:t>§</w:t>
      </w:r>
      <w:r w:rsidRPr="00A86354">
        <w:rPr>
          <w:rFonts w:ascii="Arial" w:hAnsi="Arial"/>
          <w:lang w:val="fr-FR"/>
        </w:rPr>
        <w:t xml:space="preserve">1 et 3, voir </w:t>
      </w:r>
      <w:r w:rsidR="00B7440C">
        <w:rPr>
          <w:rFonts w:ascii="Arial" w:hAnsi="Arial"/>
          <w:lang w:val="fr-FR"/>
        </w:rPr>
        <w:t xml:space="preserve">par. </w:t>
      </w:r>
      <w:r w:rsidRPr="00A86354">
        <w:rPr>
          <w:rFonts w:ascii="Arial" w:hAnsi="Arial"/>
          <w:lang w:val="fr-FR"/>
        </w:rPr>
        <w:t>17</w:t>
      </w:r>
      <w:r w:rsidRPr="00A86354" w:rsidR="00D047BA">
        <w:rPr>
          <w:rFonts w:ascii="Arial" w:hAnsi="Arial"/>
          <w:lang w:val="fr-FR"/>
        </w:rPr>
        <w:t>6</w:t>
      </w:r>
      <w:r w:rsidRPr="00A86354">
        <w:rPr>
          <w:rFonts w:ascii="Arial" w:hAnsi="Arial"/>
          <w:lang w:val="fr-FR"/>
        </w:rPr>
        <w:t xml:space="preserve"> et </w:t>
      </w:r>
      <w:r w:rsidR="00B7440C">
        <w:rPr>
          <w:rFonts w:ascii="Arial" w:hAnsi="Arial"/>
          <w:lang w:val="fr-FR"/>
        </w:rPr>
        <w:t xml:space="preserve">par. </w:t>
      </w:r>
      <w:r w:rsidRPr="00A86354">
        <w:rPr>
          <w:rFonts w:ascii="Arial" w:hAnsi="Arial"/>
          <w:lang w:val="fr-FR"/>
        </w:rPr>
        <w:t>24</w:t>
      </w:r>
      <w:r w:rsidR="00B7440C">
        <w:rPr>
          <w:rFonts w:ascii="Arial" w:hAnsi="Arial"/>
          <w:lang w:val="fr-FR"/>
        </w:rPr>
        <w:t>8</w:t>
      </w:r>
      <w:r w:rsidRPr="00A86354">
        <w:rPr>
          <w:rFonts w:ascii="Arial" w:hAnsi="Arial"/>
          <w:lang w:val="fr-FR"/>
        </w:rPr>
        <w:t xml:space="preserve"> ci-dessus), sont étroitement liés : à savoir qu'en ne fournissant pas un accès suffisant à l'assistance personnelle et aux services et installations destinés au grand public, y compris l'éducation, la France ne répond pas aux besoins spécifiques des personnes handicapées et leur refuse un accès égal aux avantages collectifs.   </w:t>
      </w:r>
    </w:p>
    <w:p w:rsidRPr="00A86354" w:rsidR="00FF47AF" w:rsidP="00FF47AF" w:rsidRDefault="00FF47AF" w14:paraId="4D71BD36" w14:textId="77777777">
      <w:pPr>
        <w:rPr>
          <w:rFonts w:ascii="Arial" w:hAnsi="Arial" w:cs="Arial"/>
          <w:lang w:val="fr-FR"/>
        </w:rPr>
      </w:pPr>
    </w:p>
    <w:p w:rsidRPr="00A86354" w:rsidR="00662305" w:rsidP="00CE016A" w:rsidRDefault="00662305" w14:paraId="264397FE" w14:textId="174413DB">
      <w:pPr>
        <w:pStyle w:val="ListParagraph"/>
        <w:numPr>
          <w:ilvl w:val="0"/>
          <w:numId w:val="1"/>
        </w:numPr>
        <w:ind w:left="0" w:firstLine="0"/>
        <w:rPr>
          <w:lang w:val="fr-FR"/>
        </w:rPr>
      </w:pPr>
      <w:r w:rsidRPr="00A86354">
        <w:rPr>
          <w:lang w:val="fr-FR"/>
        </w:rPr>
        <w:t xml:space="preserve">Le Comité considère, en ce qui concerne l'article 15, que le droit des personnes handicapées à l'autonomie, à l'intégration sociale et à la participation à la vie de la communauté, garanti par l'article 15, ne peut être dissocié de la protection </w:t>
      </w:r>
      <w:r w:rsidRPr="00A86354">
        <w:rPr>
          <w:lang w:val="fr-FR"/>
        </w:rPr>
        <w:lastRenderedPageBreak/>
        <w:t>contre la discrimination fondée sur le handicap et que le libellé de l'article 15 envisage nécessairement l'interdiction de la discrimination fondée sur le handicap. Le Comité rappelle que cette disposition requiert l'existence d'une législation complète en matière de non-discrimination. Le Comité considère donc qu'il n'est pas nécessaire d'examiner séparément s'il y a eu violation de l'article E combiné avec l’article 15</w:t>
      </w:r>
      <w:r w:rsidR="00B7440C">
        <w:rPr>
          <w:lang w:val="fr-FR"/>
        </w:rPr>
        <w:t>§</w:t>
      </w:r>
      <w:r w:rsidRPr="00A86354">
        <w:rPr>
          <w:lang w:val="fr-FR"/>
        </w:rPr>
        <w:t xml:space="preserve">§1 et 3 de la Charte. Les allégations des </w:t>
      </w:r>
      <w:r w:rsidRPr="00A86354" w:rsidR="00D047BA">
        <w:rPr>
          <w:lang w:val="fr-FR"/>
        </w:rPr>
        <w:t xml:space="preserve">organisations </w:t>
      </w:r>
      <w:r w:rsidRPr="00A86354">
        <w:rPr>
          <w:lang w:val="fr-FR"/>
        </w:rPr>
        <w:t>réclamantes relatives à la discrimination seront plutôt traitées dans le cadre de son examen au titre de l’article 15</w:t>
      </w:r>
      <w:r w:rsidR="00B7440C">
        <w:rPr>
          <w:lang w:val="fr-FR"/>
        </w:rPr>
        <w:t>§</w:t>
      </w:r>
      <w:r w:rsidRPr="00A86354">
        <w:rPr>
          <w:lang w:val="fr-FR"/>
        </w:rPr>
        <w:t xml:space="preserve">§1 et 3. </w:t>
      </w:r>
    </w:p>
    <w:p w:rsidRPr="00A86354" w:rsidR="00FF47AF" w:rsidP="00FF47AF" w:rsidRDefault="00FF47AF" w14:paraId="562B59A0" w14:textId="77777777">
      <w:pPr>
        <w:pStyle w:val="ListParagraph"/>
        <w:rPr>
          <w:lang w:val="fr-FR"/>
        </w:rPr>
      </w:pPr>
    </w:p>
    <w:p w:rsidRPr="00A86354" w:rsidR="00FF47AF" w:rsidP="00CE016A" w:rsidRDefault="00CD7896" w14:paraId="581A2F1B" w14:textId="4A7C5543">
      <w:pPr>
        <w:pStyle w:val="ListParagraph"/>
        <w:numPr>
          <w:ilvl w:val="0"/>
          <w:numId w:val="1"/>
        </w:numPr>
        <w:ind w:left="0" w:firstLine="0"/>
        <w:rPr>
          <w:lang w:val="fr-FR"/>
        </w:rPr>
      </w:pPr>
      <w:r w:rsidRPr="00A86354">
        <w:rPr>
          <w:lang w:val="fr-FR"/>
        </w:rPr>
        <w:t>Quant aux allégations des organisations réclamantes selon lesquelles le manquement des autorités à garantir l'égalité d'accès aux soins de santé pour les personnes handicapées est en violation de l'article E combiné avec l’article 11, le Comité considère que son examen au titre de l'article 11 (</w:t>
      </w:r>
      <w:r w:rsidR="00B7440C">
        <w:rPr>
          <w:lang w:val="fr-FR"/>
        </w:rPr>
        <w:t>par.</w:t>
      </w:r>
      <w:r w:rsidRPr="00A86354" w:rsidR="000B0F66">
        <w:rPr>
          <w:lang w:val="fr-FR"/>
        </w:rPr>
        <w:t xml:space="preserve"> </w:t>
      </w:r>
      <w:r w:rsidRPr="00A86354">
        <w:rPr>
          <w:lang w:val="fr-FR"/>
        </w:rPr>
        <w:t>28</w:t>
      </w:r>
      <w:r w:rsidRPr="00A86354" w:rsidR="00D047BA">
        <w:rPr>
          <w:lang w:val="fr-FR"/>
        </w:rPr>
        <w:t>3</w:t>
      </w:r>
      <w:r w:rsidRPr="00A86354">
        <w:rPr>
          <w:lang w:val="fr-FR"/>
        </w:rPr>
        <w:t xml:space="preserve"> </w:t>
      </w:r>
      <w:r w:rsidRPr="00A86354">
        <w:rPr>
          <w:i/>
          <w:iCs/>
          <w:lang w:val="fr-FR"/>
        </w:rPr>
        <w:t xml:space="preserve">et </w:t>
      </w:r>
      <w:proofErr w:type="spellStart"/>
      <w:r w:rsidRPr="00A86354">
        <w:rPr>
          <w:i/>
          <w:iCs/>
          <w:lang w:val="fr-FR"/>
        </w:rPr>
        <w:t>seq</w:t>
      </w:r>
      <w:proofErr w:type="spellEnd"/>
      <w:r w:rsidRPr="00A86354">
        <w:rPr>
          <w:i/>
          <w:iCs/>
          <w:lang w:val="fr-FR"/>
        </w:rPr>
        <w:t>.</w:t>
      </w:r>
      <w:r w:rsidRPr="00A86354">
        <w:rPr>
          <w:lang w:val="fr-FR"/>
        </w:rPr>
        <w:t xml:space="preserve"> ci-dessous) englobe des questions d'inégalité et de non-discrimination. Il considère donc qu'il n'y a pas de questions distinctes à examiner au regard de l'article E conjointement avec l'article 11.</w:t>
      </w:r>
    </w:p>
    <w:p w:rsidRPr="00A86354" w:rsidR="00FF47AF" w:rsidP="00FF47AF" w:rsidRDefault="00FF47AF" w14:paraId="7F8E12CB" w14:textId="77777777">
      <w:pPr>
        <w:ind w:left="360" w:hanging="360"/>
        <w:rPr>
          <w:rFonts w:ascii="Arial" w:hAnsi="Arial" w:cs="Arial"/>
          <w:lang w:val="fr-FR"/>
        </w:rPr>
      </w:pPr>
    </w:p>
    <w:p w:rsidRPr="00A86354" w:rsidR="00CD7896" w:rsidP="00CE016A" w:rsidRDefault="00CD7896" w14:paraId="4702BFE4" w14:textId="445B538F">
      <w:pPr>
        <w:pStyle w:val="ListParagraph"/>
        <w:numPr>
          <w:ilvl w:val="0"/>
          <w:numId w:val="1"/>
        </w:numPr>
        <w:ind w:left="0" w:firstLine="0"/>
        <w:rPr>
          <w:lang w:val="fr-FR"/>
        </w:rPr>
      </w:pPr>
      <w:r w:rsidRPr="00A86354">
        <w:rPr>
          <w:lang w:val="fr-FR"/>
        </w:rPr>
        <w:t>Quant à l'allégation des organisations réclamantes selon laquelle le fait que les autorités de l'Etat n'ont pas tenu compte positivement de la situation précaire des familles ayant un ou des membre(s) handicapé(s) est contraire à l'article E combiné avec l'article 16 de la Charte, le Comité considère que son évaluation au titre de l'article 16 (</w:t>
      </w:r>
      <w:r w:rsidR="00B7440C">
        <w:rPr>
          <w:lang w:val="fr-FR"/>
        </w:rPr>
        <w:t>par.</w:t>
      </w:r>
      <w:r w:rsidRPr="00A86354" w:rsidR="00D047BA">
        <w:rPr>
          <w:lang w:val="fr-FR"/>
        </w:rPr>
        <w:t xml:space="preserve"> </w:t>
      </w:r>
      <w:r w:rsidRPr="00A86354">
        <w:rPr>
          <w:lang w:val="fr-FR"/>
        </w:rPr>
        <w:t>30</w:t>
      </w:r>
      <w:r w:rsidRPr="00A86354" w:rsidR="00D047BA">
        <w:rPr>
          <w:lang w:val="fr-FR"/>
        </w:rPr>
        <w:t>3</w:t>
      </w:r>
      <w:r w:rsidRPr="00A86354">
        <w:rPr>
          <w:lang w:val="fr-FR"/>
        </w:rPr>
        <w:t xml:space="preserve"> </w:t>
      </w:r>
      <w:r w:rsidRPr="00A86354">
        <w:rPr>
          <w:i/>
          <w:iCs/>
          <w:lang w:val="fr-FR"/>
        </w:rPr>
        <w:t xml:space="preserve">et </w:t>
      </w:r>
      <w:proofErr w:type="spellStart"/>
      <w:r w:rsidRPr="00A86354">
        <w:rPr>
          <w:i/>
          <w:iCs/>
          <w:lang w:val="fr-FR"/>
        </w:rPr>
        <w:t>seq</w:t>
      </w:r>
      <w:proofErr w:type="spellEnd"/>
      <w:r w:rsidRPr="00A86354">
        <w:rPr>
          <w:i/>
          <w:iCs/>
          <w:lang w:val="fr-FR"/>
        </w:rPr>
        <w:t>.</w:t>
      </w:r>
      <w:r w:rsidRPr="00A86354">
        <w:rPr>
          <w:lang w:val="fr-FR"/>
        </w:rPr>
        <w:t xml:space="preserve"> ci-dessous) traite de cette question et qu'aucune question distincte ne se pose pour être examinée au titre de l'article E en </w:t>
      </w:r>
      <w:r w:rsidR="00B7440C">
        <w:rPr>
          <w:lang w:val="fr-FR"/>
        </w:rPr>
        <w:t>combinaison</w:t>
      </w:r>
      <w:r w:rsidRPr="00A86354">
        <w:rPr>
          <w:lang w:val="fr-FR"/>
        </w:rPr>
        <w:t xml:space="preserve"> avec l'article 16.</w:t>
      </w:r>
    </w:p>
    <w:p w:rsidRPr="00A86354" w:rsidR="00FF47AF" w:rsidP="00CD7896" w:rsidRDefault="00FF47AF" w14:paraId="64B7B120" w14:textId="4F8858AE">
      <w:pPr>
        <w:pStyle w:val="ListParagraph"/>
        <w:rPr>
          <w:rFonts w:cs="Arial"/>
          <w:lang w:val="fr-FR"/>
        </w:rPr>
      </w:pPr>
    </w:p>
    <w:p w:rsidRPr="00A86354" w:rsidR="00FF47AF" w:rsidP="00FF47AF" w:rsidRDefault="00FF47AF" w14:paraId="7612FD7A" w14:textId="77777777">
      <w:pPr>
        <w:rPr>
          <w:rFonts w:ascii="Arial" w:hAnsi="Arial" w:cs="Arial"/>
          <w:lang w:val="fr-FR"/>
        </w:rPr>
      </w:pPr>
    </w:p>
    <w:p w:rsidRPr="00A86354" w:rsidR="00FF47AF" w:rsidP="00CE016A" w:rsidRDefault="00FF47AF" w14:paraId="51931DE4" w14:textId="77777777">
      <w:pPr>
        <w:pStyle w:val="ListParagraph"/>
        <w:numPr>
          <w:ilvl w:val="0"/>
          <w:numId w:val="3"/>
        </w:numPr>
        <w:tabs>
          <w:tab w:val="left" w:pos="709"/>
        </w:tabs>
        <w:ind w:left="709" w:hanging="709"/>
        <w:rPr>
          <w:rFonts w:eastAsia="Calibri" w:cs="Arial"/>
          <w:b/>
          <w:lang w:val="fr-FR"/>
        </w:rPr>
      </w:pPr>
      <w:r w:rsidRPr="00A86354">
        <w:rPr>
          <w:rFonts w:cs="Arial" w:eastAsiaTheme="majorEastAsia"/>
          <w:b/>
          <w:szCs w:val="26"/>
          <w:lang w:val="fr-FR"/>
        </w:rPr>
        <w:t>VIOLATION ALLÉGUÉE DE L’ARTICLE 15§3 DE LA CHARTE</w:t>
      </w:r>
    </w:p>
    <w:p w:rsidRPr="00A86354" w:rsidR="00FF47AF" w:rsidP="00FF47AF" w:rsidRDefault="00FF47AF" w14:paraId="13EE9550" w14:textId="77777777">
      <w:pPr>
        <w:rPr>
          <w:rFonts w:ascii="Arial" w:hAnsi="Arial" w:cs="Arial"/>
          <w:lang w:val="fr-FR"/>
        </w:rPr>
      </w:pPr>
    </w:p>
    <w:p w:rsidRPr="00A86354" w:rsidR="00FF47AF" w:rsidP="00CE016A" w:rsidRDefault="00FF47AF" w14:paraId="42E2DD9A" w14:textId="77777777">
      <w:pPr>
        <w:pStyle w:val="ListParagraph"/>
        <w:numPr>
          <w:ilvl w:val="0"/>
          <w:numId w:val="1"/>
        </w:numPr>
        <w:ind w:left="0" w:firstLine="0"/>
        <w:rPr>
          <w:rFonts w:cs="Arial"/>
          <w:lang w:val="fr-FR"/>
        </w:rPr>
      </w:pPr>
      <w:r w:rsidRPr="00A86354">
        <w:rPr>
          <w:rFonts w:cs="Arial"/>
          <w:iCs/>
          <w:lang w:val="fr-FR"/>
        </w:rPr>
        <w:t>L’article 15§3 de la Charte est libellé ainsi :</w:t>
      </w:r>
    </w:p>
    <w:p w:rsidRPr="00A86354" w:rsidR="00FF47AF" w:rsidP="00FF47AF" w:rsidRDefault="00FF47AF" w14:paraId="145C37FC" w14:textId="77777777">
      <w:pPr>
        <w:tabs>
          <w:tab w:val="left" w:pos="709"/>
        </w:tabs>
        <w:rPr>
          <w:rFonts w:ascii="Arial" w:hAnsi="Arial" w:cs="Arial"/>
          <w:b/>
          <w:iCs/>
          <w:sz w:val="20"/>
          <w:szCs w:val="20"/>
          <w:lang w:val="fr-FR"/>
        </w:rPr>
      </w:pPr>
    </w:p>
    <w:p w:rsidRPr="00A86354" w:rsidR="00D047BA" w:rsidP="00D047BA" w:rsidRDefault="00D047BA" w14:paraId="6814AEC3" w14:textId="77777777">
      <w:pPr>
        <w:ind w:left="720"/>
        <w:rPr>
          <w:rFonts w:ascii="Arial" w:hAnsi="Arial" w:cs="Arial"/>
          <w:b/>
          <w:sz w:val="20"/>
          <w:szCs w:val="20"/>
          <w:lang w:val="fr-FR"/>
        </w:rPr>
      </w:pPr>
      <w:r w:rsidRPr="00A86354">
        <w:rPr>
          <w:rFonts w:ascii="Arial" w:hAnsi="Arial" w:cs="Arial"/>
          <w:b/>
          <w:sz w:val="20"/>
          <w:szCs w:val="20"/>
          <w:lang w:val="fr-FR"/>
        </w:rPr>
        <w:t>Article 15 – Droit des personnes handicapées à l'autonomie, à l'intégration sociale et à la participation à la vie de la communauté</w:t>
      </w:r>
    </w:p>
    <w:p w:rsidRPr="00A86354" w:rsidR="00D047BA" w:rsidP="00D047BA" w:rsidRDefault="00D047BA" w14:paraId="7C8159AF" w14:textId="77777777">
      <w:pPr>
        <w:ind w:left="720"/>
        <w:rPr>
          <w:rFonts w:ascii="Arial" w:hAnsi="Arial" w:cs="Arial"/>
          <w:sz w:val="20"/>
          <w:szCs w:val="20"/>
          <w:lang w:val="fr-FR"/>
        </w:rPr>
      </w:pPr>
      <w:r w:rsidRPr="00A86354">
        <w:rPr>
          <w:rFonts w:ascii="Arial" w:hAnsi="Arial" w:cs="Arial"/>
          <w:sz w:val="20"/>
          <w:szCs w:val="20"/>
          <w:lang w:val="fr-FR"/>
        </w:rPr>
        <w:t> </w:t>
      </w:r>
    </w:p>
    <w:p w:rsidRPr="00A86354" w:rsidR="00D047BA" w:rsidP="00D047BA" w:rsidRDefault="00D047BA" w14:paraId="095A8F88" w14:textId="77777777">
      <w:pPr>
        <w:ind w:left="720"/>
        <w:rPr>
          <w:rFonts w:ascii="Arial" w:hAnsi="Arial" w:cs="Arial"/>
          <w:sz w:val="20"/>
          <w:szCs w:val="20"/>
          <w:lang w:val="fr-FR"/>
        </w:rPr>
      </w:pPr>
      <w:r w:rsidRPr="00A86354">
        <w:rPr>
          <w:rFonts w:ascii="Arial" w:hAnsi="Arial" w:cs="Arial"/>
          <w:sz w:val="20"/>
          <w:szCs w:val="20"/>
          <w:lang w:val="fr-FR"/>
        </w:rPr>
        <w:t>« Partie I : Toute personne handicapée a droit à l'autonomie, à l'intégration sociale et à la participation à la vie de la communauté. »</w:t>
      </w:r>
    </w:p>
    <w:p w:rsidRPr="00A86354" w:rsidR="00D047BA" w:rsidP="00D047BA" w:rsidRDefault="00D047BA" w14:paraId="7240F8BE" w14:textId="77777777">
      <w:pPr>
        <w:ind w:left="720"/>
        <w:rPr>
          <w:rFonts w:ascii="Arial" w:hAnsi="Arial" w:cs="Arial"/>
          <w:sz w:val="20"/>
          <w:szCs w:val="20"/>
          <w:lang w:val="fr-FR"/>
        </w:rPr>
      </w:pPr>
      <w:r w:rsidRPr="00A86354">
        <w:rPr>
          <w:rFonts w:ascii="Arial" w:hAnsi="Arial" w:cs="Arial"/>
          <w:sz w:val="20"/>
          <w:szCs w:val="20"/>
          <w:lang w:val="fr-FR"/>
        </w:rPr>
        <w:t> </w:t>
      </w:r>
    </w:p>
    <w:p w:rsidRPr="00A86354" w:rsidR="00D047BA" w:rsidP="00D047BA" w:rsidRDefault="00D047BA" w14:paraId="419394E6" w14:textId="77777777">
      <w:pPr>
        <w:ind w:left="720"/>
        <w:rPr>
          <w:rFonts w:ascii="Arial" w:hAnsi="Arial" w:cs="Arial"/>
          <w:sz w:val="20"/>
          <w:szCs w:val="20"/>
          <w:lang w:val="fr-FR"/>
        </w:rPr>
      </w:pPr>
      <w:r w:rsidRPr="00A86354">
        <w:rPr>
          <w:rFonts w:ascii="Arial" w:hAnsi="Arial" w:cs="Arial"/>
          <w:sz w:val="20"/>
          <w:szCs w:val="20"/>
          <w:lang w:val="fr-FR"/>
        </w:rPr>
        <w:t xml:space="preserve">« Partie II : « En vue de garantir aux personnes handicapées, quel que soit leur âge, la nature et l'origine de leur handicap, l'exercice effectif du droit à l'autonomie, à l'intégration sociale et à la participation à la vie de la communauté, les Parties s'engagent notamment : </w:t>
      </w:r>
    </w:p>
    <w:p w:rsidRPr="00A86354" w:rsidR="00D047BA" w:rsidP="00D047BA" w:rsidRDefault="00D047BA" w14:paraId="55C40967" w14:textId="77777777">
      <w:pPr>
        <w:ind w:left="720"/>
        <w:rPr>
          <w:rFonts w:ascii="Arial" w:hAnsi="Arial" w:cs="Arial"/>
          <w:sz w:val="20"/>
          <w:szCs w:val="20"/>
          <w:lang w:val="fr-FR"/>
        </w:rPr>
      </w:pPr>
    </w:p>
    <w:p w:rsidRPr="00A86354" w:rsidR="00D047BA" w:rsidP="00D047BA" w:rsidRDefault="00D047BA" w14:paraId="5CA9AA0E" w14:textId="77777777">
      <w:pPr>
        <w:ind w:left="720"/>
        <w:rPr>
          <w:rFonts w:ascii="Arial" w:hAnsi="Arial" w:cs="Arial"/>
          <w:sz w:val="20"/>
          <w:szCs w:val="20"/>
          <w:lang w:val="fr-FR"/>
        </w:rPr>
      </w:pPr>
      <w:r w:rsidRPr="00A86354">
        <w:rPr>
          <w:rFonts w:ascii="Arial" w:hAnsi="Arial" w:cs="Arial"/>
          <w:sz w:val="20"/>
          <w:szCs w:val="20"/>
          <w:lang w:val="fr-FR"/>
        </w:rPr>
        <w:t>(…)</w:t>
      </w:r>
    </w:p>
    <w:p w:rsidRPr="00A86354" w:rsidR="00D047BA" w:rsidP="00D047BA" w:rsidRDefault="00D047BA" w14:paraId="73EDBBAA" w14:textId="77777777">
      <w:pPr>
        <w:ind w:left="720"/>
        <w:rPr>
          <w:rFonts w:ascii="Arial" w:hAnsi="Arial" w:cs="Arial"/>
          <w:sz w:val="20"/>
          <w:szCs w:val="20"/>
          <w:lang w:val="fr-FR"/>
        </w:rPr>
      </w:pPr>
      <w:r w:rsidRPr="00A86354">
        <w:rPr>
          <w:rFonts w:ascii="Arial" w:hAnsi="Arial" w:cs="Arial"/>
          <w:sz w:val="20"/>
          <w:szCs w:val="20"/>
          <w:lang w:val="fr-FR"/>
        </w:rPr>
        <w:t> </w:t>
      </w:r>
    </w:p>
    <w:p w:rsidRPr="00A86354" w:rsidR="00D047BA" w:rsidP="00D047BA" w:rsidRDefault="00D047BA" w14:paraId="02456E22" w14:textId="3C9ECE1E">
      <w:pPr>
        <w:tabs>
          <w:tab w:val="left" w:pos="1134"/>
        </w:tabs>
        <w:ind w:left="720"/>
        <w:rPr>
          <w:rFonts w:ascii="Arial" w:hAnsi="Arial" w:cs="Arial"/>
          <w:sz w:val="20"/>
          <w:szCs w:val="20"/>
          <w:lang w:val="fr-FR"/>
        </w:rPr>
      </w:pPr>
      <w:r w:rsidRPr="00A86354">
        <w:rPr>
          <w:rFonts w:ascii="Arial" w:hAnsi="Arial" w:cs="Arial"/>
          <w:sz w:val="20"/>
          <w:szCs w:val="20"/>
          <w:lang w:val="fr-FR"/>
        </w:rPr>
        <w:t xml:space="preserve">3. </w:t>
      </w:r>
      <w:r w:rsidRPr="00A86354">
        <w:rPr>
          <w:rFonts w:ascii="Arial" w:hAnsi="Arial" w:cs="Arial"/>
          <w:sz w:val="20"/>
          <w:szCs w:val="20"/>
          <w:lang w:val="fr-FR"/>
        </w:rPr>
        <w:tab/>
        <w:t>à favoriser leur pleine intégration et participation à la vie sociale, notamment par des mesures, y compris des aides techniques, visant à surmonter des obstacles à la communication et à la mobilité et à leur permettre d'accéder aux transports, au logement, aux activités culturelles et aux loisirs. »</w:t>
      </w:r>
    </w:p>
    <w:p w:rsidRPr="00A86354" w:rsidR="00FF47AF" w:rsidP="00FF47AF" w:rsidRDefault="00FF47AF" w14:paraId="6910B458" w14:textId="77777777">
      <w:pPr>
        <w:rPr>
          <w:rFonts w:ascii="Arial" w:hAnsi="Arial" w:cs="Arial"/>
          <w:lang w:val="fr-FR"/>
        </w:rPr>
      </w:pPr>
    </w:p>
    <w:p w:rsidRPr="00A86354" w:rsidR="00FF47AF" w:rsidP="00FF47AF" w:rsidRDefault="00FF47AF" w14:paraId="40E381AA" w14:textId="77777777">
      <w:pPr>
        <w:keepNext/>
        <w:keepLines/>
        <w:tabs>
          <w:tab w:val="left" w:pos="567"/>
          <w:tab w:val="left" w:pos="709"/>
        </w:tabs>
        <w:outlineLvl w:val="2"/>
        <w:rPr>
          <w:rFonts w:ascii="Arial" w:hAnsi="Arial" w:cs="Arial" w:eastAsiaTheme="majorEastAsia"/>
          <w:b/>
          <w:bCs/>
          <w:kern w:val="1"/>
          <w:szCs w:val="26"/>
          <w:lang w:val="fr-FR" w:eastAsia="ar-SA"/>
        </w:rPr>
      </w:pPr>
      <w:r w:rsidRPr="00A86354">
        <w:rPr>
          <w:rFonts w:ascii="Arial" w:hAnsi="Arial" w:eastAsia="Calibri" w:cs="Arial"/>
          <w:b/>
          <w:bCs/>
          <w:lang w:val="fr-FR"/>
        </w:rPr>
        <w:t xml:space="preserve">A – </w:t>
      </w:r>
      <w:r w:rsidRPr="00A86354">
        <w:rPr>
          <w:rFonts w:ascii="Arial" w:hAnsi="Arial" w:cs="Arial" w:eastAsiaTheme="majorEastAsia"/>
          <w:b/>
          <w:bCs/>
          <w:kern w:val="1"/>
          <w:szCs w:val="26"/>
          <w:lang w:val="fr-FR" w:eastAsia="ar-SA"/>
        </w:rPr>
        <w:t>Arguments des parties</w:t>
      </w:r>
    </w:p>
    <w:p w:rsidRPr="00A86354" w:rsidR="00FF47AF" w:rsidP="00A86354" w:rsidRDefault="00FF47AF" w14:paraId="72F22D99" w14:textId="77777777">
      <w:pPr>
        <w:tabs>
          <w:tab w:val="left" w:pos="709"/>
        </w:tabs>
        <w:rPr>
          <w:rFonts w:ascii="Arial" w:hAnsi="Arial" w:cs="Arial"/>
          <w:lang w:val="fr-FR"/>
        </w:rPr>
      </w:pPr>
    </w:p>
    <w:p w:rsidRPr="00A86354" w:rsidR="00FF47AF" w:rsidP="00FF47AF" w:rsidRDefault="00FF47AF" w14:paraId="4FCC346D" w14:textId="446BFB41">
      <w:pPr>
        <w:keepNext/>
        <w:keepLines/>
        <w:tabs>
          <w:tab w:val="left" w:pos="709"/>
        </w:tabs>
        <w:outlineLvl w:val="3"/>
        <w:rPr>
          <w:rFonts w:ascii="Arial" w:hAnsi="Arial" w:cs="Arial" w:eastAsiaTheme="majorEastAsia"/>
          <w:b/>
          <w:iCs/>
          <w:lang w:val="fr-FR"/>
        </w:rPr>
      </w:pPr>
      <w:r w:rsidRPr="00A86354">
        <w:rPr>
          <w:rFonts w:ascii="Arial" w:hAnsi="Arial" w:cs="Arial" w:eastAsiaTheme="majorEastAsia"/>
          <w:b/>
          <w:iCs/>
          <w:lang w:val="fr-FR"/>
        </w:rPr>
        <w:t>1.</w:t>
      </w:r>
      <w:r w:rsidRPr="00A86354">
        <w:rPr>
          <w:rFonts w:ascii="Arial" w:hAnsi="Arial" w:cs="Arial" w:eastAsiaTheme="majorEastAsia"/>
          <w:b/>
          <w:iCs/>
          <w:lang w:val="fr-FR"/>
        </w:rPr>
        <w:tab/>
        <w:t xml:space="preserve">Les organisations </w:t>
      </w:r>
      <w:r w:rsidRPr="00A86354" w:rsidR="00D047BA">
        <w:rPr>
          <w:rFonts w:ascii="Arial" w:hAnsi="Arial" w:cs="Arial" w:eastAsiaTheme="majorEastAsia"/>
          <w:b/>
          <w:bCs/>
          <w:iCs/>
          <w:lang w:val="fr-FR"/>
        </w:rPr>
        <w:t>auteurs de la réclamation</w:t>
      </w:r>
      <w:r w:rsidRPr="00A86354" w:rsidDel="00D047BA" w:rsidR="00D047BA">
        <w:rPr>
          <w:rFonts w:ascii="Arial" w:hAnsi="Arial" w:cs="Arial" w:eastAsiaTheme="majorEastAsia"/>
          <w:b/>
          <w:iCs/>
          <w:lang w:val="fr-FR"/>
        </w:rPr>
        <w:t xml:space="preserve"> </w:t>
      </w:r>
    </w:p>
    <w:p w:rsidRPr="00A86354" w:rsidR="00FF47AF" w:rsidP="00A86354" w:rsidRDefault="00FF47AF" w14:paraId="68041E86" w14:textId="77777777">
      <w:pPr>
        <w:pStyle w:val="ListParagraph"/>
        <w:rPr>
          <w:rFonts w:cs="Arial"/>
          <w:lang w:val="fr-FR"/>
        </w:rPr>
      </w:pPr>
    </w:p>
    <w:p w:rsidRPr="00A86354" w:rsidR="00FF47AF" w:rsidP="00FF47AF" w:rsidRDefault="00FF47AF" w14:paraId="0113EE39" w14:textId="77777777">
      <w:pPr>
        <w:pStyle w:val="ListParagraph"/>
        <w:rPr>
          <w:rFonts w:cs="Arial"/>
          <w:i/>
          <w:iCs/>
          <w:lang w:val="fr-FR"/>
        </w:rPr>
      </w:pPr>
      <w:r w:rsidRPr="00A86354">
        <w:rPr>
          <w:rFonts w:cs="Arial"/>
          <w:i/>
          <w:iCs/>
          <w:lang w:val="fr-FR"/>
        </w:rPr>
        <w:t>Absence de politique coordonnée en vue de l’intégration sociale et de la participation à la vie de la communauté</w:t>
      </w:r>
    </w:p>
    <w:p w:rsidRPr="00A86354" w:rsidR="00FF47AF" w:rsidP="00FF47AF" w:rsidRDefault="00FF47AF" w14:paraId="74A6B7A0" w14:textId="77777777">
      <w:pPr>
        <w:rPr>
          <w:rFonts w:cs="Arial"/>
          <w:lang w:val="fr-FR"/>
        </w:rPr>
      </w:pPr>
    </w:p>
    <w:p w:rsidRPr="00A86354" w:rsidR="00FF47AF" w:rsidP="00B7440C" w:rsidRDefault="00FF47AF" w14:paraId="3ADF7ACD" w14:textId="7EA16CFD">
      <w:pPr>
        <w:pStyle w:val="ListParagraph"/>
        <w:numPr>
          <w:ilvl w:val="0"/>
          <w:numId w:val="1"/>
        </w:numPr>
        <w:tabs>
          <w:tab w:val="left" w:pos="709"/>
        </w:tabs>
        <w:ind w:left="0" w:firstLine="0"/>
        <w:rPr>
          <w:rFonts w:cs="Arial"/>
          <w:lang w:val="fr-FR"/>
        </w:rPr>
      </w:pPr>
      <w:r w:rsidRPr="00A86354">
        <w:rPr>
          <w:rFonts w:cs="Arial"/>
          <w:lang w:val="fr-FR"/>
        </w:rPr>
        <w:t>EDF et Inclusion Europe affirment que les États sont tenus, en vertu de la Charte, d’adopter une approche globale et coordonnée pour promouvoir l’accès effectif des personnes handicapées à une vie autonome et incluse dans la société. Selon les organisations réclamantes, les États devraient donc adopter une stratégie cohérente en s’appuyant sur une collecte de données et d’informations statistiques fiables ; sensibiliser la société au handicap ; lutter contre les discriminations et prendre en compte la situation des femmes et des enfants handicapés, et mettre en œuvre une stratégie aux fins d’offrir à l’ensemble des personnes handicapées des services de proximité, y compris une aide personnelle, leur permettant de mener une vie autonome incluse dans la société.</w:t>
      </w:r>
    </w:p>
    <w:p w:rsidRPr="00A86354" w:rsidR="00FF47AF" w:rsidP="00FF47AF" w:rsidRDefault="00FF47AF" w14:paraId="2A76CB4A" w14:textId="77777777">
      <w:pPr>
        <w:pStyle w:val="ListParagraph"/>
        <w:rPr>
          <w:rFonts w:cs="Arial"/>
          <w:lang w:val="fr-FR"/>
        </w:rPr>
      </w:pPr>
    </w:p>
    <w:p w:rsidRPr="00A86354" w:rsidR="00FF47AF" w:rsidP="00B7440C" w:rsidRDefault="00FF47AF" w14:paraId="2A618DEE" w14:textId="77777777">
      <w:pPr>
        <w:pStyle w:val="ListParagraph"/>
        <w:numPr>
          <w:ilvl w:val="0"/>
          <w:numId w:val="1"/>
        </w:numPr>
        <w:tabs>
          <w:tab w:val="left" w:pos="709"/>
        </w:tabs>
        <w:ind w:left="0" w:firstLine="0"/>
        <w:rPr>
          <w:rFonts w:cs="Arial"/>
          <w:lang w:val="fr-FR"/>
        </w:rPr>
      </w:pPr>
      <w:r w:rsidRPr="00A86354">
        <w:rPr>
          <w:rFonts w:cs="Arial"/>
          <w:lang w:val="fr-FR"/>
        </w:rPr>
        <w:t>Selon EDF et Inclusion Europe, malgré l’objectif affiché d’une société inclusive</w:t>
      </w:r>
      <w:r w:rsidRPr="00A86354">
        <w:rPr>
          <w:lang w:val="fr-FR"/>
        </w:rPr>
        <w:t xml:space="preserve"> </w:t>
      </w:r>
      <w:r w:rsidRPr="00A86354">
        <w:rPr>
          <w:rFonts w:cs="Arial"/>
          <w:lang w:val="fr-FR"/>
        </w:rPr>
        <w:t>en France, une telle approche est absente de la politique publique du handicap menée par le Gouvernement. Tout d’abord, renvoyant en particulier au rapport 2019 de la Rapporteuse spéciale de l’ONU mais aussi à d’autres rapports nationaux, dont ceux de la Cour des Comptes (2013) et du Conseil économique, social et environnemental français (2012), ainsi qu’à une décision de 2017 du Défenseur des droits (n° 2017/257), les organisations réclamantes affirment que, malgré l’existence d’un cadre juridique pour la collecte de données et d’informations statistiques (code de l’action sociale et des familles), dans la pratique, il y a un manque de données statistiques fiables reposant sur des indicateurs scientifiques concernant la situation des personnes handicapées et leurs besoins. En conséquence, il ne peut exister de stratégie nationale sur le handicap qui s’appuie sur un cadre analytique et un plan d’action cohérent établi sur la base d’une évaluation approfondie des obstacles entravant l’accès aux droits fondamentaux des personnes handicapées.</w:t>
      </w:r>
    </w:p>
    <w:p w:rsidRPr="00A86354" w:rsidR="008F0D0E" w:rsidP="008F0D0E" w:rsidRDefault="008F0D0E" w14:paraId="0A97F885" w14:textId="77777777">
      <w:pPr>
        <w:ind w:left="360" w:hanging="360"/>
        <w:rPr>
          <w:rFonts w:ascii="Arial" w:hAnsi="Arial" w:cs="Arial"/>
          <w:lang w:val="fr-FR"/>
        </w:rPr>
      </w:pPr>
    </w:p>
    <w:p w:rsidRPr="00A86354" w:rsidR="00FF47AF" w:rsidP="00CE016A" w:rsidRDefault="00FF47AF" w14:paraId="2D3D8D71" w14:textId="7D92D2BD">
      <w:pPr>
        <w:pStyle w:val="ListParagraph"/>
        <w:numPr>
          <w:ilvl w:val="0"/>
          <w:numId w:val="1"/>
        </w:numPr>
        <w:ind w:left="0" w:firstLine="0"/>
        <w:rPr>
          <w:rFonts w:cs="Arial"/>
          <w:lang w:val="fr-FR"/>
        </w:rPr>
      </w:pPr>
      <w:r w:rsidRPr="00A86354">
        <w:rPr>
          <w:rFonts w:cs="Arial"/>
          <w:lang w:val="fr-FR"/>
        </w:rPr>
        <w:t>Selon EDF et Inclusion Europe, même si quelques mesures ont été prises pour sensibiliser la population au handicap, comme l’indique le rapport initial de 2016 présenté par la France au sujet de la mise en œuvre de la C</w:t>
      </w:r>
      <w:r w:rsidRPr="00A86354" w:rsidR="00D0702D">
        <w:rPr>
          <w:rFonts w:cs="Arial"/>
          <w:lang w:val="fr-FR"/>
        </w:rPr>
        <w:t>I</w:t>
      </w:r>
      <w:r w:rsidRPr="00A86354">
        <w:rPr>
          <w:rFonts w:cs="Arial"/>
          <w:lang w:val="fr-FR"/>
        </w:rPr>
        <w:t>DPH (CRPD/C/FRA/1), comme les activités de sensibilisation des jeunes au handicap organisées par le ministère de l’Éducation nationale, ces mesures ne sont pas suffisantes et ne sont pas constitutives d’une politique globale de sensibilisation de la société. L’absence de politique globale et coordonnée en faveur d’une vie autonome incluse dans la société fait que les mesures prises pour lutter contre la discrimination fondée sur le handicap ne permettent pas d’atteindre les objectifs requis : le handicap constituait 20,80 % des réclamations adressées en 201</w:t>
      </w:r>
      <w:r w:rsidRPr="00A86354" w:rsidR="00720C37">
        <w:rPr>
          <w:rFonts w:cs="Arial"/>
          <w:lang w:val="fr-FR"/>
        </w:rPr>
        <w:t>8</w:t>
      </w:r>
      <w:r w:rsidRPr="00A86354">
        <w:rPr>
          <w:rFonts w:cs="Arial"/>
          <w:lang w:val="fr-FR"/>
        </w:rPr>
        <w:t xml:space="preserve"> au Défenseur des droits en matière de discrimination. Il s’agissait </w:t>
      </w:r>
      <w:r w:rsidRPr="00A86354" w:rsidR="00D047BA">
        <w:rPr>
          <w:rFonts w:cs="Arial"/>
          <w:lang w:val="fr-FR"/>
        </w:rPr>
        <w:t xml:space="preserve">du motif de discrimination le plus fréquent après celui lié à </w:t>
      </w:r>
      <w:r w:rsidRPr="00A86354">
        <w:rPr>
          <w:rFonts w:cs="Arial"/>
          <w:lang w:val="fr-FR"/>
        </w:rPr>
        <w:t>l’origine (23,70 %). Se référant également à plusieurs rapports du Défenseur des droits (rapport de 2016 « L’emploi des femmes en situation de handicap » et rapport de 2015 « Handicap et protection de l’enfance : des droits pour des enfants invisibles »), les organisations réclamantes critiquent la non-prise en compte par les autorités de l’État des problèmes particuliers des femmes et des enfants handicapés dans leurs politiques sur le handicap, alors qu’ils sont confrontés notamment à des formes intersectionnelles de discrimination.</w:t>
      </w:r>
    </w:p>
    <w:p w:rsidRPr="00A86354" w:rsidR="00FF47AF" w:rsidP="00FF47AF" w:rsidRDefault="00FF47AF" w14:paraId="2D67E6EB" w14:textId="77777777">
      <w:pPr>
        <w:pStyle w:val="ListParagraph"/>
        <w:rPr>
          <w:rFonts w:cs="Arial"/>
          <w:lang w:val="fr-FR"/>
        </w:rPr>
      </w:pPr>
      <w:r w:rsidRPr="00A86354">
        <w:rPr>
          <w:rFonts w:cs="Arial"/>
          <w:lang w:val="fr-FR"/>
        </w:rPr>
        <w:t xml:space="preserve"> </w:t>
      </w:r>
    </w:p>
    <w:p w:rsidRPr="00A86354" w:rsidR="00FF47AF" w:rsidP="00CE016A" w:rsidRDefault="00FF47AF" w14:paraId="0FFA7441" w14:textId="571F8E2E">
      <w:pPr>
        <w:pStyle w:val="ListParagraph"/>
        <w:numPr>
          <w:ilvl w:val="0"/>
          <w:numId w:val="1"/>
        </w:numPr>
        <w:ind w:left="0" w:firstLine="0"/>
        <w:rPr>
          <w:rFonts w:cs="Arial"/>
          <w:lang w:val="fr-FR"/>
        </w:rPr>
      </w:pPr>
      <w:r w:rsidRPr="00A86354">
        <w:rPr>
          <w:rFonts w:cs="Arial"/>
          <w:lang w:val="fr-FR"/>
        </w:rPr>
        <w:t xml:space="preserve">Selon EDF et Inclusion Europe, aucune politique coordonnée n’a été mise en place pour assurer l’accompagnement et le suivi des mesures d’accessibilité, qu’il s’agisse, pour ne citer qu’eux, de l’accessibilité des bâtiments et établissements ouverts au public, des transports, des logements d’habitation individuels ou collectifs, </w:t>
      </w:r>
      <w:r w:rsidRPr="00A86354">
        <w:rPr>
          <w:rFonts w:cs="Arial"/>
          <w:lang w:val="fr-FR"/>
        </w:rPr>
        <w:lastRenderedPageBreak/>
        <w:t>des nouvelles technologies, des moyens de communication et d’information ou encore de la</w:t>
      </w:r>
      <w:r w:rsidRPr="00A86354">
        <w:rPr>
          <w:lang w:val="fr-FR"/>
        </w:rPr>
        <w:t xml:space="preserve"> </w:t>
      </w:r>
      <w:r w:rsidRPr="00A86354">
        <w:rPr>
          <w:rFonts w:cs="Arial"/>
          <w:lang w:val="fr-FR"/>
        </w:rPr>
        <w:t>gamme de services d’accompagnement.</w:t>
      </w:r>
    </w:p>
    <w:p w:rsidRPr="00A86354" w:rsidR="00FF47AF" w:rsidP="00A86354" w:rsidRDefault="00FF47AF" w14:paraId="164A9C0F" w14:textId="77777777">
      <w:pPr>
        <w:rPr>
          <w:rFonts w:ascii="Arial" w:hAnsi="Arial" w:cs="Arial"/>
          <w:lang w:val="fr-FR"/>
        </w:rPr>
      </w:pPr>
    </w:p>
    <w:p w:rsidRPr="00A86354" w:rsidR="00FF47AF" w:rsidP="00CE016A" w:rsidRDefault="00FF47AF" w14:paraId="4751B900" w14:textId="16ED63BE">
      <w:pPr>
        <w:pStyle w:val="ListParagraph"/>
        <w:numPr>
          <w:ilvl w:val="0"/>
          <w:numId w:val="1"/>
        </w:numPr>
        <w:ind w:left="0" w:firstLine="0"/>
        <w:rPr>
          <w:rFonts w:cs="Arial"/>
          <w:lang w:val="fr-FR"/>
        </w:rPr>
      </w:pPr>
      <w:r w:rsidRPr="00A86354">
        <w:rPr>
          <w:rFonts w:cs="Arial"/>
          <w:lang w:val="fr-FR"/>
        </w:rPr>
        <w:t xml:space="preserve">Pour EDF et Inclusion Europe, les mesures et les feuilles de route évoquées par le Gouvernement dans son mémoire (voir </w:t>
      </w:r>
      <w:r w:rsidR="00B7440C">
        <w:rPr>
          <w:rFonts w:cs="Arial"/>
          <w:lang w:val="fr-FR"/>
        </w:rPr>
        <w:t xml:space="preserve">par. </w:t>
      </w:r>
      <w:r w:rsidRPr="00A86354" w:rsidR="00720C37">
        <w:rPr>
          <w:rFonts w:cs="Arial"/>
          <w:lang w:val="fr-FR"/>
        </w:rPr>
        <w:t>15</w:t>
      </w:r>
      <w:r w:rsidRPr="00A86354" w:rsidR="00D047BA">
        <w:rPr>
          <w:rFonts w:cs="Arial"/>
          <w:lang w:val="fr-FR"/>
        </w:rPr>
        <w:t>3</w:t>
      </w:r>
      <w:r w:rsidRPr="00A86354" w:rsidR="00720C37">
        <w:rPr>
          <w:rFonts w:cs="Arial"/>
          <w:lang w:val="fr-FR"/>
        </w:rPr>
        <w:t xml:space="preserve"> </w:t>
      </w:r>
      <w:r w:rsidRPr="00A86354" w:rsidR="00720C37">
        <w:rPr>
          <w:rFonts w:cs="Arial"/>
          <w:i/>
          <w:iCs/>
          <w:lang w:val="fr-FR"/>
        </w:rPr>
        <w:t xml:space="preserve">et </w:t>
      </w:r>
      <w:proofErr w:type="spellStart"/>
      <w:r w:rsidRPr="00A86354" w:rsidR="00720C37">
        <w:rPr>
          <w:rFonts w:cs="Arial"/>
          <w:i/>
          <w:iCs/>
          <w:lang w:val="fr-FR"/>
        </w:rPr>
        <w:t>seq</w:t>
      </w:r>
      <w:proofErr w:type="spellEnd"/>
      <w:r w:rsidRPr="00A86354" w:rsidR="00720C37">
        <w:rPr>
          <w:rFonts w:cs="Arial"/>
          <w:lang w:val="fr-FR"/>
        </w:rPr>
        <w:t>.</w:t>
      </w:r>
      <w:r w:rsidRPr="00A86354">
        <w:rPr>
          <w:rFonts w:cs="Arial"/>
          <w:lang w:val="fr-FR"/>
        </w:rPr>
        <w:t xml:space="preserve">), telles que la stratégie concernant « l’offre d’accompagnement » dans la feuille de route « Ambition transformation 2019-2022 » préparée par la Secrétaire d’État chargée des personnes handicapées, se caractérisent par une approche médicale axée sur les limitations fonctionnelles de la personne handicapée et sur l’offre de services d’accompagnement dits médico-sociaux. </w:t>
      </w:r>
      <w:r w:rsidRPr="00A86354" w:rsidR="00D047BA">
        <w:rPr>
          <w:rFonts w:cs="Arial"/>
          <w:lang w:val="fr-FR"/>
        </w:rPr>
        <w:t xml:space="preserve">Mais la stratégie n'adopte aucune sorte d’« approche globale » </w:t>
      </w:r>
      <w:r w:rsidRPr="00A86354">
        <w:rPr>
          <w:rFonts w:cs="Arial"/>
          <w:lang w:val="fr-FR"/>
        </w:rPr>
        <w:t xml:space="preserve">qui prendrait aussi en compte les autres types de services, comme les </w:t>
      </w:r>
      <w:bookmarkStart w:name="_Hlk115855410" w:id="11"/>
      <w:r w:rsidRPr="00A86354">
        <w:rPr>
          <w:rFonts w:cs="Arial"/>
          <w:lang w:val="fr-FR"/>
        </w:rPr>
        <w:t xml:space="preserve">services de proximité </w:t>
      </w:r>
      <w:bookmarkEnd w:id="11"/>
      <w:r w:rsidRPr="00A86354">
        <w:rPr>
          <w:rFonts w:cs="Arial"/>
          <w:lang w:val="fr-FR"/>
        </w:rPr>
        <w:t>et les services d’aide à domicile, et qui garantirait l’accessibilité pour assurer aux personnes handicapées la pleine jouissance des droits fondamentaux, sur la base de l’égalité avec les autres. En outre, la stratégie s’arrête en 2022 et n’a qu’une portée limitée (par exemple la démarche « Territoire 100 % inclusif » est menée dans seulement 29 départements sur 105), alors qu’une stratégie efficace et complète sur le handicap doit couvrir toute la durée du processus et ne doit pas se limiter à un temps politique (jusqu’aux prochaines élections présidentielles et législatives).</w:t>
      </w:r>
    </w:p>
    <w:p w:rsidRPr="00A86354" w:rsidR="00FF47AF" w:rsidP="00FF47AF" w:rsidRDefault="00FF47AF" w14:paraId="25330EC4" w14:textId="77777777">
      <w:pPr>
        <w:ind w:left="360" w:hanging="360"/>
        <w:rPr>
          <w:rFonts w:ascii="Arial" w:hAnsi="Arial" w:cs="Arial"/>
          <w:lang w:val="fr-FR"/>
        </w:rPr>
      </w:pPr>
    </w:p>
    <w:p w:rsidRPr="00A86354" w:rsidR="00FF47AF" w:rsidP="00CE016A" w:rsidRDefault="00FF47AF" w14:paraId="32CA3FE8" w14:textId="77777777">
      <w:pPr>
        <w:pStyle w:val="ListParagraph"/>
        <w:numPr>
          <w:ilvl w:val="0"/>
          <w:numId w:val="1"/>
        </w:numPr>
        <w:ind w:left="0" w:firstLine="0"/>
        <w:rPr>
          <w:rFonts w:cs="Arial"/>
          <w:lang w:val="fr-FR"/>
        </w:rPr>
      </w:pPr>
      <w:r w:rsidRPr="00A86354">
        <w:rPr>
          <w:rFonts w:cs="Arial"/>
          <w:lang w:val="fr-FR"/>
        </w:rPr>
        <w:t>Selon les organisations réclamantes, des mesures telles que le rattachement du Secrétariat d’État chargé des personnes handicapées au Premier ministre ou les annonces issues des réunions du Comité interministériel du handicap (CIH) de septembre 2017 et d’octobre 2018 ne constituent pas une stratégie nationale. Il s’agit de grands objectifs politiques et d’une juxtaposition de mesures, ne reposant sur aucun diagnostic, dépourvus tant de méthodologie et de moyens pour leur mise en œuvre que de mécanismes de suivi.</w:t>
      </w:r>
    </w:p>
    <w:p w:rsidRPr="00A86354" w:rsidR="00FF47AF" w:rsidP="00FF47AF" w:rsidRDefault="00FF47AF" w14:paraId="140284CB" w14:textId="77777777">
      <w:pPr>
        <w:ind w:left="360" w:hanging="360"/>
        <w:rPr>
          <w:rFonts w:ascii="Arial" w:hAnsi="Arial" w:cs="Arial"/>
          <w:lang w:val="fr-FR"/>
        </w:rPr>
      </w:pPr>
    </w:p>
    <w:p w:rsidRPr="00A86354" w:rsidR="00FF47AF" w:rsidP="00FF47AF" w:rsidRDefault="00FF47AF" w14:paraId="3FAD2D99" w14:textId="77777777">
      <w:pPr>
        <w:pStyle w:val="ListParagraph"/>
        <w:rPr>
          <w:rFonts w:cs="Arial"/>
          <w:i/>
          <w:iCs/>
          <w:lang w:val="fr-FR"/>
        </w:rPr>
      </w:pPr>
      <w:r w:rsidRPr="00A86354">
        <w:rPr>
          <w:rFonts w:cs="Arial"/>
          <w:i/>
          <w:iCs/>
          <w:lang w:val="fr-FR"/>
        </w:rPr>
        <w:t>Accès à des services sociaux d’accompagnement</w:t>
      </w:r>
    </w:p>
    <w:p w:rsidRPr="00A86354" w:rsidR="00FF47AF" w:rsidP="00A86354" w:rsidRDefault="00FF47AF" w14:paraId="71BB15DA" w14:textId="77777777">
      <w:pPr>
        <w:pStyle w:val="ListParagraph"/>
        <w:rPr>
          <w:rFonts w:cs="Arial"/>
          <w:lang w:val="fr-FR"/>
        </w:rPr>
      </w:pPr>
    </w:p>
    <w:p w:rsidRPr="00A86354" w:rsidR="00FF47AF" w:rsidP="00CE016A" w:rsidRDefault="00FF47AF" w14:paraId="31425324" w14:textId="77777777">
      <w:pPr>
        <w:pStyle w:val="ListParagraph"/>
        <w:numPr>
          <w:ilvl w:val="0"/>
          <w:numId w:val="1"/>
        </w:numPr>
        <w:ind w:left="0" w:firstLine="0"/>
        <w:rPr>
          <w:rFonts w:cs="Arial"/>
          <w:lang w:val="fr-FR"/>
        </w:rPr>
      </w:pPr>
      <w:r w:rsidRPr="00A86354">
        <w:rPr>
          <w:rFonts w:cs="Arial"/>
          <w:lang w:val="fr-FR"/>
        </w:rPr>
        <w:t>Selon EDF et Inclusion Europe, l’accès à des services sociaux d’accompagnement répondant aux besoins des personnes handicapées et à leurs choix de vie est une condition indispensable au respect de leur droit à l’autonomie, à l’intégration sociale et à la participation à la vie de la communauté. Mais, malgré l’existence de dispositions de droit interne prévoyant un système d’accompagnement des personnes handicapées (code de l’action sociale et des familles, code de l’éducation), l’accès à ces services n’est pas effectif. Les organisations réclamantes font état de difficultés, dans la pratique, concernant tant les services sociaux (a) que les aides financières aux personnes handicapées visant à accroître leur autonomie (b).</w:t>
      </w:r>
    </w:p>
    <w:p w:rsidRPr="00A86354" w:rsidR="00FF47AF" w:rsidP="00FF47AF" w:rsidRDefault="00FF47AF" w14:paraId="587C6B29" w14:textId="77777777">
      <w:pPr>
        <w:pStyle w:val="ListParagraph"/>
        <w:rPr>
          <w:rFonts w:cs="Arial"/>
          <w:lang w:val="fr-FR"/>
        </w:rPr>
      </w:pPr>
    </w:p>
    <w:p w:rsidRPr="00A86354" w:rsidR="00FF47AF" w:rsidP="00A86354" w:rsidRDefault="00FF47AF" w14:paraId="3827F0FE" w14:textId="77777777">
      <w:pPr>
        <w:pStyle w:val="Heading1"/>
        <w:keepNext/>
        <w:ind w:left="709"/>
        <w:rPr>
          <w:lang w:val="fr-FR"/>
        </w:rPr>
      </w:pPr>
      <w:r w:rsidRPr="00A86354">
        <w:rPr>
          <w:lang w:val="fr-FR"/>
        </w:rPr>
        <w:t>Services sociaux</w:t>
      </w:r>
    </w:p>
    <w:p w:rsidRPr="00A86354" w:rsidR="008F0D0E" w:rsidP="008F0D0E" w:rsidRDefault="008F0D0E" w14:paraId="4E90A7F0" w14:textId="77777777">
      <w:pPr>
        <w:ind w:left="360" w:hanging="360"/>
        <w:rPr>
          <w:rFonts w:ascii="Arial" w:hAnsi="Arial" w:cs="Arial"/>
          <w:lang w:val="fr-FR"/>
        </w:rPr>
      </w:pPr>
    </w:p>
    <w:p w:rsidRPr="00A86354" w:rsidR="00FF47AF" w:rsidP="00CE016A" w:rsidRDefault="00FF47AF" w14:paraId="2BC9BF63" w14:textId="77777777">
      <w:pPr>
        <w:pStyle w:val="ListParagraph"/>
        <w:keepNext/>
        <w:numPr>
          <w:ilvl w:val="0"/>
          <w:numId w:val="1"/>
        </w:numPr>
        <w:ind w:left="0" w:firstLine="0"/>
        <w:rPr>
          <w:rFonts w:cs="Arial"/>
          <w:lang w:val="fr-FR"/>
        </w:rPr>
      </w:pPr>
      <w:r w:rsidRPr="00A86354">
        <w:rPr>
          <w:rFonts w:cs="Arial"/>
          <w:lang w:val="fr-FR"/>
        </w:rPr>
        <w:t>Selon EDF et Inclusion Europe, malgré l’importance cruciale des services sociaux, l’accès à ces services en France pose problème depuis de nombreuses années, essentiellement en raison de la pénurie de services et de l’inadaptation des services existants.</w:t>
      </w:r>
    </w:p>
    <w:p w:rsidRPr="00A86354" w:rsidR="00FF47AF" w:rsidP="00FF47AF" w:rsidRDefault="00FF47AF" w14:paraId="75BFF488" w14:textId="77777777">
      <w:pPr>
        <w:pStyle w:val="ListParagraph"/>
        <w:rPr>
          <w:rFonts w:cs="Arial"/>
          <w:lang w:val="fr-FR"/>
        </w:rPr>
      </w:pPr>
    </w:p>
    <w:p w:rsidRPr="00A86354" w:rsidR="00FF47AF" w:rsidP="00CE016A" w:rsidRDefault="00FF47AF" w14:paraId="6014EEC1" w14:textId="77777777">
      <w:pPr>
        <w:pStyle w:val="ListParagraph"/>
        <w:numPr>
          <w:ilvl w:val="0"/>
          <w:numId w:val="1"/>
        </w:numPr>
        <w:ind w:left="0" w:firstLine="0"/>
        <w:rPr>
          <w:rFonts w:cs="Arial"/>
          <w:lang w:val="fr-FR"/>
        </w:rPr>
      </w:pPr>
      <w:r w:rsidRPr="00A86354">
        <w:rPr>
          <w:rFonts w:cs="Arial"/>
          <w:lang w:val="fr-FR"/>
        </w:rPr>
        <w:t xml:space="preserve">Se référant à un rapport de 2015 du Commissaire aux droits de l’homme du Conseil de l’Europe, les organisations réclamantes affirment que la création de </w:t>
      </w:r>
      <w:r w:rsidRPr="00A86354">
        <w:rPr>
          <w:rFonts w:cs="Arial"/>
          <w:lang w:val="fr-FR"/>
        </w:rPr>
        <w:lastRenderedPageBreak/>
        <w:t>Maisons départementales des personnes handicapées (MDPH), dont la mission est de recevoir, informer, accompagner et conseiller les personnes handicapées et leurs familles mais aussi de sensibiliser la société au handicap, n’a pas permis d’éviter qu’un certain nombre de personnes handicapées se trouvent sans accompagnement social et sans réponse adaptée à leur situation.</w:t>
      </w:r>
    </w:p>
    <w:p w:rsidRPr="00A86354" w:rsidR="008F0D0E" w:rsidP="008F0D0E" w:rsidRDefault="008F0D0E" w14:paraId="7E7C8AA5" w14:textId="77777777">
      <w:pPr>
        <w:ind w:left="360" w:hanging="360"/>
        <w:rPr>
          <w:rFonts w:ascii="Arial" w:hAnsi="Arial" w:cs="Arial"/>
          <w:lang w:val="fr-FR"/>
        </w:rPr>
      </w:pPr>
    </w:p>
    <w:p w:rsidRPr="00A86354" w:rsidR="00FF47AF" w:rsidP="00CE016A" w:rsidRDefault="00FF47AF" w14:paraId="24FFB773" w14:textId="77777777">
      <w:pPr>
        <w:pStyle w:val="ListParagraph"/>
        <w:numPr>
          <w:ilvl w:val="0"/>
          <w:numId w:val="1"/>
        </w:numPr>
        <w:ind w:left="0" w:firstLine="0"/>
        <w:rPr>
          <w:rFonts w:cs="Arial"/>
          <w:lang w:val="fr-FR"/>
        </w:rPr>
      </w:pPr>
      <w:r w:rsidRPr="00A86354">
        <w:rPr>
          <w:rFonts w:cs="Arial"/>
          <w:lang w:val="fr-FR"/>
        </w:rPr>
        <w:t>Selon EDF et Inclusion Europe, en raison du manque de données et de statistiques fiables concernant les personnes handicapées en France, il est difficile de chiffrer précisément le nombre de personnes handicapées ne bénéficiant pas de réponse à leurs besoins. Cependant, les organisations réclamantes présentent des chiffres, des exemples concrets et des témoignages faisant état de retards importants dans le traitement des dossiers et de longues listes d’attente concernant les MDPH, mais aussi les établissements médico-sociaux :</w:t>
      </w:r>
    </w:p>
    <w:p w:rsidRPr="00A86354" w:rsidR="00FF47AF" w:rsidP="00FF47AF" w:rsidRDefault="00FF47AF" w14:paraId="012D7D97" w14:textId="77777777">
      <w:pPr>
        <w:pStyle w:val="ListParagraph"/>
        <w:ind w:left="360"/>
        <w:rPr>
          <w:lang w:val="fr-FR"/>
        </w:rPr>
      </w:pPr>
    </w:p>
    <w:p w:rsidRPr="00A86354" w:rsidR="00FF47AF" w:rsidP="00CE016A" w:rsidRDefault="00FF47AF" w14:paraId="4937AFEB" w14:textId="08097CC8">
      <w:pPr>
        <w:pStyle w:val="ListParagraph"/>
        <w:numPr>
          <w:ilvl w:val="0"/>
          <w:numId w:val="2"/>
        </w:numPr>
        <w:rPr>
          <w:sz w:val="20"/>
          <w:szCs w:val="20"/>
          <w:lang w:val="fr-FR"/>
        </w:rPr>
      </w:pPr>
      <w:r w:rsidRPr="00A86354">
        <w:rPr>
          <w:sz w:val="20"/>
          <w:szCs w:val="20"/>
          <w:lang w:val="fr-FR"/>
        </w:rPr>
        <w:t>en région Centre-Val de Loire, en décembre 2013</w:t>
      </w:r>
      <w:r w:rsidRPr="00A86354">
        <w:rPr>
          <w:rFonts w:cs="Arial"/>
          <w:sz w:val="20"/>
          <w:szCs w:val="20"/>
          <w:lang w:val="fr-FR"/>
        </w:rPr>
        <w:t>, 15 909 personnes handicapées étaient accueillies dans les structures médico-sociales pour enfants et adultes de la région. Parallèlement, 5 048 personnes étaient inscrites sur les listes d’attente, ce qui met en lumière un défaut d’adéquation entre l’offre proposée en région et les demandes des personnes handicapées. Le délai d’attente moyen dépassait un an et plus de trois personnes handicapées sur dix étaient inscrites sur liste d’attente depuis au moins deux ans</w:t>
      </w:r>
      <w:r w:rsidRPr="00A86354" w:rsidR="005C6622">
        <w:rPr>
          <w:rFonts w:cs="Arial"/>
          <w:sz w:val="20"/>
          <w:szCs w:val="20"/>
          <w:lang w:val="fr-FR"/>
        </w:rPr>
        <w:t>.</w:t>
      </w:r>
    </w:p>
    <w:p w:rsidRPr="00A86354" w:rsidR="00FF47AF" w:rsidP="00A86354" w:rsidRDefault="00FF47AF" w14:paraId="7864AEB3" w14:textId="77777777">
      <w:pPr>
        <w:pStyle w:val="ListParagraph"/>
        <w:ind w:left="720"/>
        <w:rPr>
          <w:sz w:val="20"/>
          <w:szCs w:val="20"/>
          <w:lang w:val="fr-FR"/>
        </w:rPr>
      </w:pPr>
    </w:p>
    <w:p w:rsidRPr="00A86354" w:rsidR="00FF47AF" w:rsidP="00CE016A" w:rsidRDefault="00FF47AF" w14:paraId="498EF6A6" w14:textId="23E20FF7">
      <w:pPr>
        <w:pStyle w:val="ListParagraph"/>
        <w:numPr>
          <w:ilvl w:val="0"/>
          <w:numId w:val="2"/>
        </w:numPr>
        <w:rPr>
          <w:sz w:val="20"/>
          <w:szCs w:val="20"/>
          <w:lang w:val="fr-FR"/>
        </w:rPr>
      </w:pPr>
      <w:r w:rsidRPr="00A86354">
        <w:rPr>
          <w:sz w:val="20"/>
          <w:szCs w:val="20"/>
          <w:lang w:val="fr-FR"/>
        </w:rPr>
        <w:t>selon le réseau Unapei (première fédération française d’associations de défense des intérêts des personnes handicapées mentales), en 2015, 47 427 personnes</w:t>
      </w:r>
      <w:r w:rsidRPr="00A86354">
        <w:rPr>
          <w:lang w:val="fr-FR"/>
        </w:rPr>
        <w:t xml:space="preserve"> </w:t>
      </w:r>
      <w:r w:rsidRPr="00A86354">
        <w:rPr>
          <w:sz w:val="20"/>
          <w:szCs w:val="20"/>
          <w:lang w:val="fr-FR"/>
        </w:rPr>
        <w:t>pour la plupart handicapées intellectuelles étaient sans réponse des services sociaux d’accompagnement, dont 12 658 enfants en attente d’une place, 6 827 adultes attendant une réponse à la fois pour un accompagnement social et pour une prise en charge médicale, et 13 983 adultes en attente d’une place de foyer</w:t>
      </w:r>
      <w:r w:rsidRPr="00A86354" w:rsidR="005C6622">
        <w:rPr>
          <w:sz w:val="20"/>
          <w:szCs w:val="20"/>
          <w:lang w:val="fr-FR"/>
        </w:rPr>
        <w:t>.</w:t>
      </w:r>
    </w:p>
    <w:p w:rsidRPr="00A86354" w:rsidR="00FF47AF" w:rsidP="00A86354" w:rsidRDefault="00FF47AF" w14:paraId="0C990E42" w14:textId="77777777">
      <w:pPr>
        <w:pStyle w:val="ListParagraph"/>
        <w:ind w:left="720"/>
        <w:rPr>
          <w:sz w:val="20"/>
          <w:szCs w:val="20"/>
          <w:lang w:val="fr-FR"/>
        </w:rPr>
      </w:pPr>
    </w:p>
    <w:p w:rsidRPr="00A86354" w:rsidR="00FF47AF" w:rsidP="00CE016A" w:rsidRDefault="00FF47AF" w14:paraId="66C4A62F" w14:textId="24AD4D94">
      <w:pPr>
        <w:pStyle w:val="ListParagraph"/>
        <w:numPr>
          <w:ilvl w:val="0"/>
          <w:numId w:val="2"/>
        </w:numPr>
        <w:rPr>
          <w:sz w:val="20"/>
          <w:szCs w:val="20"/>
          <w:lang w:val="fr-FR"/>
        </w:rPr>
      </w:pPr>
      <w:r w:rsidRPr="00A86354">
        <w:rPr>
          <w:sz w:val="20"/>
          <w:szCs w:val="20"/>
          <w:lang w:val="fr-FR"/>
        </w:rPr>
        <w:t>en décembre 2015, 3 488 enfants étaient en attente d’un premier rendez-vous dans 161 Centres d’action médico-sociale précoce (CAMSP) ; 1 397 enfants étaient en attente entre le premier rendez-vous et un premier soin dans 115 CAMSP</w:t>
      </w:r>
      <w:r w:rsidRPr="00A86354" w:rsidR="005C6622">
        <w:rPr>
          <w:sz w:val="20"/>
          <w:szCs w:val="20"/>
          <w:lang w:val="fr-FR"/>
        </w:rPr>
        <w:t>.</w:t>
      </w:r>
      <w:r w:rsidRPr="00A86354">
        <w:rPr>
          <w:sz w:val="20"/>
          <w:szCs w:val="20"/>
          <w:lang w:val="fr-FR"/>
        </w:rPr>
        <w:t xml:space="preserve"> </w:t>
      </w:r>
    </w:p>
    <w:p w:rsidRPr="00A86354" w:rsidR="00FF47AF" w:rsidP="00A86354" w:rsidRDefault="00FF47AF" w14:paraId="2128395C" w14:textId="77777777">
      <w:pPr>
        <w:pStyle w:val="ListParagraph"/>
        <w:ind w:left="720"/>
        <w:rPr>
          <w:sz w:val="20"/>
          <w:szCs w:val="20"/>
          <w:lang w:val="fr-FR"/>
        </w:rPr>
      </w:pPr>
    </w:p>
    <w:p w:rsidRPr="00A86354" w:rsidR="00FF47AF" w:rsidP="00CE016A" w:rsidRDefault="00FF47AF" w14:paraId="1F2D418F" w14:textId="55238D6B">
      <w:pPr>
        <w:pStyle w:val="ListParagraph"/>
        <w:numPr>
          <w:ilvl w:val="0"/>
          <w:numId w:val="2"/>
        </w:numPr>
        <w:rPr>
          <w:sz w:val="20"/>
          <w:szCs w:val="20"/>
          <w:lang w:val="fr-FR"/>
        </w:rPr>
      </w:pPr>
      <w:r w:rsidRPr="00A86354">
        <w:rPr>
          <w:sz w:val="20"/>
          <w:szCs w:val="20"/>
          <w:lang w:val="fr-FR"/>
        </w:rPr>
        <w:t>en 2015, 2 001 enfants suivis par des CAMSP étaient en attente d’une place dans une autre structure, soit 10 % des effectifs des CAMSP répondants</w:t>
      </w:r>
      <w:r w:rsidRPr="00A86354" w:rsidR="005C6622">
        <w:rPr>
          <w:sz w:val="20"/>
          <w:szCs w:val="20"/>
          <w:lang w:val="fr-FR"/>
        </w:rPr>
        <w:t>.</w:t>
      </w:r>
    </w:p>
    <w:p w:rsidRPr="00A86354" w:rsidR="00FF47AF" w:rsidP="00A86354" w:rsidRDefault="00FF47AF" w14:paraId="2638DB33" w14:textId="77777777">
      <w:pPr>
        <w:pStyle w:val="ListParagraph"/>
        <w:ind w:left="720"/>
        <w:rPr>
          <w:sz w:val="20"/>
          <w:szCs w:val="20"/>
          <w:lang w:val="fr-FR"/>
        </w:rPr>
      </w:pPr>
    </w:p>
    <w:p w:rsidRPr="00A86354" w:rsidR="00FF47AF" w:rsidP="00CE016A" w:rsidRDefault="00FF47AF" w14:paraId="6E3DFB9B" w14:textId="0B2ED008">
      <w:pPr>
        <w:pStyle w:val="ListParagraph"/>
        <w:numPr>
          <w:ilvl w:val="0"/>
          <w:numId w:val="2"/>
        </w:numPr>
        <w:rPr>
          <w:sz w:val="20"/>
          <w:szCs w:val="20"/>
          <w:lang w:val="fr-FR"/>
        </w:rPr>
      </w:pPr>
      <w:r w:rsidRPr="00A86354">
        <w:rPr>
          <w:sz w:val="20"/>
          <w:szCs w:val="20"/>
          <w:lang w:val="fr-FR"/>
        </w:rPr>
        <w:t>en 2010, environ 6 000 jeunes adultes handicapés étaient maintenus dans des établissements pour enfants dans l’attente de places adaptées à leur situation. Si la plupart de ces jeunes en attente d’une solution avaient entre 20 et 23 ans, certains restent dans les services pour enfants et adolescents jusqu’à l’âge de 35 ans, faute d’autres solutions</w:t>
      </w:r>
      <w:r w:rsidRPr="00A86354" w:rsidR="005C6622">
        <w:rPr>
          <w:sz w:val="20"/>
          <w:szCs w:val="20"/>
          <w:lang w:val="fr-FR"/>
        </w:rPr>
        <w:t>.</w:t>
      </w:r>
    </w:p>
    <w:p w:rsidRPr="00A86354" w:rsidR="00FF47AF" w:rsidP="00A86354" w:rsidRDefault="00FF47AF" w14:paraId="5AEA5F78" w14:textId="77777777">
      <w:pPr>
        <w:pStyle w:val="ListParagraph"/>
        <w:ind w:left="720"/>
        <w:rPr>
          <w:sz w:val="20"/>
          <w:szCs w:val="20"/>
          <w:lang w:val="fr-FR"/>
        </w:rPr>
      </w:pPr>
    </w:p>
    <w:p w:rsidRPr="00A86354" w:rsidR="00FF47AF" w:rsidP="00CE016A" w:rsidRDefault="00FF47AF" w14:paraId="6C5D69AA" w14:textId="77777777">
      <w:pPr>
        <w:pStyle w:val="ListParagraph"/>
        <w:numPr>
          <w:ilvl w:val="0"/>
          <w:numId w:val="2"/>
        </w:numPr>
        <w:rPr>
          <w:sz w:val="20"/>
          <w:szCs w:val="20"/>
          <w:lang w:val="fr-FR"/>
        </w:rPr>
      </w:pPr>
      <w:r w:rsidRPr="00A86354">
        <w:rPr>
          <w:sz w:val="20"/>
          <w:szCs w:val="20"/>
          <w:lang w:val="fr-FR"/>
        </w:rPr>
        <w:t>en 2014, l’Unapei a estimé que 30 500 personnes handicapées mentales vieillissantes étaient sans solution adaptée à leurs besoins.</w:t>
      </w:r>
    </w:p>
    <w:p w:rsidRPr="00A86354" w:rsidR="00FF47AF" w:rsidP="00FF47AF" w:rsidRDefault="00FF47AF" w14:paraId="56AB8E40" w14:textId="77777777">
      <w:pPr>
        <w:rPr>
          <w:rFonts w:ascii="Arial" w:hAnsi="Arial" w:cs="Arial"/>
          <w:lang w:val="fr-FR"/>
        </w:rPr>
      </w:pPr>
    </w:p>
    <w:p w:rsidRPr="00A86354" w:rsidR="00FF47AF" w:rsidP="00CE016A" w:rsidRDefault="00FF47AF" w14:paraId="0E7D11E2" w14:textId="77777777">
      <w:pPr>
        <w:pStyle w:val="ListParagraph"/>
        <w:numPr>
          <w:ilvl w:val="0"/>
          <w:numId w:val="1"/>
        </w:numPr>
        <w:ind w:left="0" w:firstLine="0"/>
        <w:rPr>
          <w:lang w:val="fr-FR"/>
        </w:rPr>
      </w:pPr>
      <w:r w:rsidRPr="00A86354">
        <w:rPr>
          <w:lang w:val="fr-FR"/>
        </w:rPr>
        <w:t>Concernant les lacunes des services d’accompagnement mis en place pour certaines catégories de handicap en France, EDF et Inclusion Europe évoquent :</w:t>
      </w:r>
    </w:p>
    <w:p w:rsidRPr="00A86354" w:rsidR="00FF47AF" w:rsidP="00FF47AF" w:rsidRDefault="00FF47AF" w14:paraId="6F23BC67" w14:textId="77777777">
      <w:pPr>
        <w:pStyle w:val="ListParagraph"/>
        <w:rPr>
          <w:lang w:val="fr-FR"/>
        </w:rPr>
      </w:pPr>
    </w:p>
    <w:p w:rsidRPr="00A86354" w:rsidR="00FF47AF" w:rsidP="00CE016A" w:rsidRDefault="00FF47AF" w14:paraId="48FFA930" w14:textId="77777777">
      <w:pPr>
        <w:pStyle w:val="ListParagraph"/>
        <w:numPr>
          <w:ilvl w:val="0"/>
          <w:numId w:val="2"/>
        </w:numPr>
        <w:rPr>
          <w:sz w:val="20"/>
          <w:szCs w:val="20"/>
          <w:lang w:val="fr-FR"/>
        </w:rPr>
      </w:pPr>
      <w:r w:rsidRPr="00A86354">
        <w:rPr>
          <w:sz w:val="20"/>
          <w:szCs w:val="20"/>
          <w:lang w:val="fr-FR"/>
        </w:rPr>
        <w:t xml:space="preserve">la persistance du défaut d’accompagnement adapté des personnes autistes, avec pour effet l’orientation en hôpital psychiatrique de ces personnes, malgré deux décisions du Comité constatant une violation de la Charte par la France (Autisme-Europe c. </w:t>
      </w:r>
      <w:bookmarkStart w:name="_Hlk121302641" w:id="12"/>
      <w:r w:rsidRPr="00A86354">
        <w:rPr>
          <w:sz w:val="20"/>
          <w:szCs w:val="20"/>
          <w:lang w:val="fr-FR"/>
        </w:rPr>
        <w:t>France, réclamation n° 13/2002</w:t>
      </w:r>
      <w:bookmarkEnd w:id="12"/>
      <w:r w:rsidRPr="00A86354">
        <w:rPr>
          <w:sz w:val="20"/>
          <w:szCs w:val="20"/>
          <w:lang w:val="fr-FR"/>
        </w:rPr>
        <w:t xml:space="preserve">, et </w:t>
      </w:r>
      <w:bookmarkStart w:name="_Hlk121152327" w:id="13"/>
      <w:r w:rsidRPr="00A86354">
        <w:rPr>
          <w:sz w:val="20"/>
          <w:szCs w:val="20"/>
          <w:lang w:val="fr-FR"/>
        </w:rPr>
        <w:t xml:space="preserve">Action européenne des handicapés </w:t>
      </w:r>
      <w:bookmarkEnd w:id="13"/>
      <w:r w:rsidRPr="00A86354">
        <w:rPr>
          <w:sz w:val="20"/>
          <w:szCs w:val="20"/>
          <w:lang w:val="fr-FR"/>
        </w:rPr>
        <w:t>(AEH) c. France, réclamation n° 81/2012) et trois plans autisme (dans le cadre de la stratégie nationale pour l’autisme 2018-2022) ;</w:t>
      </w:r>
    </w:p>
    <w:p w:rsidRPr="00A86354" w:rsidR="00FF47AF" w:rsidP="00FF47AF" w:rsidRDefault="00FF47AF" w14:paraId="130A7453" w14:textId="77777777">
      <w:pPr>
        <w:pStyle w:val="ListParagraph"/>
        <w:ind w:left="720"/>
        <w:rPr>
          <w:sz w:val="20"/>
          <w:szCs w:val="20"/>
          <w:lang w:val="fr-FR"/>
        </w:rPr>
      </w:pPr>
    </w:p>
    <w:p w:rsidRPr="00A86354" w:rsidR="00FF47AF" w:rsidP="00CE016A" w:rsidRDefault="00FF47AF" w14:paraId="131D5E7C" w14:textId="77777777">
      <w:pPr>
        <w:pStyle w:val="ListParagraph"/>
        <w:numPr>
          <w:ilvl w:val="0"/>
          <w:numId w:val="2"/>
        </w:numPr>
        <w:rPr>
          <w:sz w:val="20"/>
          <w:szCs w:val="20"/>
          <w:lang w:val="fr-FR"/>
        </w:rPr>
      </w:pPr>
      <w:r w:rsidRPr="00A86354">
        <w:rPr>
          <w:sz w:val="20"/>
          <w:szCs w:val="20"/>
          <w:lang w:val="fr-FR"/>
        </w:rPr>
        <w:t xml:space="preserve">l’insuffisance des moyens pour l’accompagnement des personnes polyhandicapées : compte tenu du nombre limité de places dans les structures (telles que les Maisons d’accueil spécialisées (MAS) ou les Foyers d’accueil médicalisé pour adultes handicapés (FAM)) et du faible nombre de professionnels formés au polyhandicap, la difficulté est de garantir la continuité du parcours de soins et de l’accompagnement adapté. En 2017, 200 adultes </w:t>
      </w:r>
      <w:r w:rsidRPr="00A86354">
        <w:rPr>
          <w:sz w:val="20"/>
          <w:szCs w:val="20"/>
          <w:lang w:val="fr-FR"/>
        </w:rPr>
        <w:lastRenderedPageBreak/>
        <w:t>polyhandicapés étaient sans réponse ni solution adaptée dans la région Bretagne et 130 enfants polyhandicapés attendaient un accompagnement dans le département de Seine-Saint-Denis. Très souvent, faute de places disponibles dans les établissements (MAS et FAM), les jeunes handicapés sont obligés de rester dans les Instituts médico-éducatifs (IME) après l’âge de 20 ans. Par exemple, l’IME APF Handas de Villeurbanne, établissement éducatif pour les enfants et adolescents handicapés, n’accompagne quasiment que de jeunes adultes attendant une réponse pour un accompagnement plus adapté ;</w:t>
      </w:r>
    </w:p>
    <w:p w:rsidRPr="00A86354" w:rsidR="00FF47AF" w:rsidP="00FF47AF" w:rsidRDefault="00FF47AF" w14:paraId="68BE75B7" w14:textId="77777777">
      <w:pPr>
        <w:pStyle w:val="ListParagraph"/>
        <w:ind w:left="360"/>
        <w:rPr>
          <w:sz w:val="20"/>
          <w:szCs w:val="20"/>
          <w:lang w:val="fr-FR"/>
        </w:rPr>
      </w:pPr>
    </w:p>
    <w:p w:rsidRPr="00A86354" w:rsidR="00FF47AF" w:rsidP="00CE016A" w:rsidRDefault="00FF47AF" w14:paraId="6DB6CFEF" w14:textId="77777777">
      <w:pPr>
        <w:pStyle w:val="ListParagraph"/>
        <w:numPr>
          <w:ilvl w:val="0"/>
          <w:numId w:val="2"/>
        </w:numPr>
        <w:rPr>
          <w:sz w:val="20"/>
          <w:szCs w:val="20"/>
          <w:lang w:val="fr-FR"/>
        </w:rPr>
      </w:pPr>
      <w:r w:rsidRPr="00A86354">
        <w:rPr>
          <w:sz w:val="20"/>
          <w:szCs w:val="20"/>
          <w:lang w:val="fr-FR"/>
        </w:rPr>
        <w:t xml:space="preserve">le faible développement des </w:t>
      </w:r>
      <w:bookmarkStart w:name="_Hlk115855576" w:id="14"/>
      <w:r w:rsidRPr="00A86354">
        <w:rPr>
          <w:sz w:val="20"/>
          <w:szCs w:val="20"/>
          <w:lang w:val="fr-FR"/>
        </w:rPr>
        <w:t>services pour l’accompagnement en milieu ordinaire</w:t>
      </w:r>
      <w:bookmarkEnd w:id="14"/>
      <w:r w:rsidRPr="00A86354">
        <w:rPr>
          <w:sz w:val="20"/>
          <w:szCs w:val="20"/>
          <w:lang w:val="fr-FR"/>
        </w:rPr>
        <w:t xml:space="preserve">. En ce qui concerne en particulier les </w:t>
      </w:r>
      <w:bookmarkStart w:name="_Hlk115855613" w:id="15"/>
      <w:r w:rsidRPr="00A86354">
        <w:rPr>
          <w:sz w:val="20"/>
          <w:szCs w:val="20"/>
          <w:lang w:val="fr-FR"/>
        </w:rPr>
        <w:t>services d’accompagnement à la vie sociale</w:t>
      </w:r>
      <w:bookmarkEnd w:id="15"/>
      <w:r w:rsidRPr="00A86354">
        <w:rPr>
          <w:sz w:val="20"/>
          <w:szCs w:val="20"/>
          <w:lang w:val="fr-FR"/>
        </w:rPr>
        <w:t>, les organisations réclamantes indiquent qu’en 2014, dans la région Centre-Val de Loire, 785 personnes handicapées bénéficiaient d’une assistance des</w:t>
      </w:r>
      <w:r w:rsidRPr="00A86354">
        <w:rPr>
          <w:i/>
          <w:iCs/>
          <w:sz w:val="20"/>
          <w:szCs w:val="20"/>
          <w:lang w:val="fr-FR"/>
        </w:rPr>
        <w:t xml:space="preserve"> </w:t>
      </w:r>
      <w:r w:rsidRPr="00A86354">
        <w:rPr>
          <w:sz w:val="20"/>
          <w:szCs w:val="20"/>
          <w:lang w:val="fr-FR"/>
        </w:rPr>
        <w:t>Services d’accompagnement à la vie sociale (SAV), tandis que 223 autres étaient inscrites sur liste d’attente ; 424 personnes bénéficiaient d’une assistance des MAS, tandis que 232 autres étaient inscrites sur liste d’attente ; 721 personnes handicapées bénéficiaient d’une assistance des FAM, tandis que 212 autres étaient inscrites sur liste d’attente ; 331 personnes handicapées bénéficiaient d’une assistance du Service d’accompagnement médico-social pour adulte handicapé (SAMSAH), tandis que 87 autres personnes étaient inscrites sur la liste d’attente des services d’accompagnement.</w:t>
      </w:r>
    </w:p>
    <w:p w:rsidRPr="00A86354" w:rsidR="008F0D0E" w:rsidP="008F0D0E" w:rsidRDefault="008F0D0E" w14:paraId="3CBBACDE" w14:textId="77777777">
      <w:pPr>
        <w:ind w:left="360" w:hanging="360"/>
        <w:rPr>
          <w:rFonts w:ascii="Arial" w:hAnsi="Arial" w:cs="Arial"/>
          <w:lang w:val="fr-FR"/>
        </w:rPr>
      </w:pPr>
    </w:p>
    <w:p w:rsidRPr="00A86354" w:rsidR="00FF47AF" w:rsidP="00CE016A" w:rsidRDefault="00FF47AF" w14:paraId="454E27C2" w14:textId="77777777">
      <w:pPr>
        <w:pStyle w:val="ListParagraph"/>
        <w:numPr>
          <w:ilvl w:val="0"/>
          <w:numId w:val="1"/>
        </w:numPr>
        <w:ind w:left="0" w:firstLine="0"/>
        <w:rPr>
          <w:rFonts w:cs="Arial"/>
          <w:lang w:val="fr-FR"/>
        </w:rPr>
      </w:pPr>
      <w:r w:rsidRPr="00A86354">
        <w:rPr>
          <w:lang w:val="fr-FR"/>
        </w:rPr>
        <w:t>En conséquence, de nombreuses personnes handicapées qui auraient pu bénéficier d’un maintien en milieu ordinaire à condition de recevoir l’accompagnement social nécessaire ont été placées en établissement faute d’une évaluation pertinente de leurs besoins ou de disponibilité des services ou de l’aide adaptés. En 2017, environ 100 000 enfants et 200 000 adultes handicapés résidaient dans diverses institutions.</w:t>
      </w:r>
    </w:p>
    <w:p w:rsidRPr="00A86354" w:rsidR="00FF47AF" w:rsidP="00FF47AF" w:rsidRDefault="00FF47AF" w14:paraId="62581764" w14:textId="77777777">
      <w:pPr>
        <w:pStyle w:val="ListParagraph"/>
        <w:rPr>
          <w:rFonts w:cs="Arial"/>
          <w:lang w:val="fr-FR"/>
        </w:rPr>
      </w:pPr>
    </w:p>
    <w:p w:rsidRPr="00A86354" w:rsidR="00FF47AF" w:rsidP="00CE016A" w:rsidRDefault="00FF47AF" w14:paraId="68862FF7" w14:textId="280C55DD">
      <w:pPr>
        <w:pStyle w:val="ListParagraph"/>
        <w:numPr>
          <w:ilvl w:val="0"/>
          <w:numId w:val="1"/>
        </w:numPr>
        <w:ind w:left="0" w:firstLine="0"/>
        <w:rPr>
          <w:rFonts w:cs="Arial"/>
          <w:lang w:val="fr-FR"/>
        </w:rPr>
      </w:pPr>
      <w:r w:rsidRPr="00A86354">
        <w:rPr>
          <w:rFonts w:cs="Arial"/>
          <w:lang w:val="fr-FR"/>
        </w:rPr>
        <w:t>En raison de l’insuffisance des capacités des établissements médico-sociaux et des services sociaux d’accompagnement en France, en 2015, quelque 6 800 personnes handicapées, dont 1 451 enfants, ont été accompagnées en dehors du territoire national (en Belgique), orientées par les autorités françaises et avec un financement public. En décembre 2017, ce nombre s’élevait à 7</w:t>
      </w:r>
      <w:r w:rsidRPr="00A86354" w:rsidR="00F44F39">
        <w:rPr>
          <w:rFonts w:cs="Arial"/>
          <w:lang w:val="fr-FR"/>
        </w:rPr>
        <w:t> </w:t>
      </w:r>
      <w:r w:rsidRPr="00A86354">
        <w:rPr>
          <w:rFonts w:cs="Arial"/>
          <w:lang w:val="fr-FR"/>
        </w:rPr>
        <w:t>553</w:t>
      </w:r>
      <w:r w:rsidRPr="00A86354" w:rsidR="00F44F39">
        <w:rPr>
          <w:rFonts w:cs="Arial"/>
          <w:lang w:val="fr-FR"/>
        </w:rPr>
        <w:t> </w:t>
      </w:r>
      <w:r w:rsidRPr="00A86354">
        <w:rPr>
          <w:rFonts w:cs="Arial"/>
          <w:lang w:val="fr-FR"/>
        </w:rPr>
        <w:t>personnes (1 444 enfants et 6 109 adultes). Cela représente une augmentation de 10,5 % en deux ans du nombre de personnes handicapées prises en charge en Belgique. Parmi les personnes accompagnées en Belgique, plus de 4 000 ne sont pas des « frontaliers » mais sont originaires d’une cinquantaine de départements français, parfois situés à des milliers de kilomètres de la Belgique.</w:t>
      </w:r>
      <w:r w:rsidRPr="00A86354">
        <w:rPr>
          <w:lang w:val="fr-FR"/>
        </w:rPr>
        <w:t xml:space="preserve"> </w:t>
      </w:r>
      <w:r w:rsidRPr="00A86354">
        <w:rPr>
          <w:rFonts w:cs="Arial"/>
          <w:lang w:val="fr-FR"/>
        </w:rPr>
        <w:t>Malgré les annonces de la France concernant un plan de prévention et d’arrêt des « départs non souhaités », la situation perdure.</w:t>
      </w:r>
      <w:r w:rsidRPr="00A86354">
        <w:rPr>
          <w:lang w:val="fr-FR"/>
        </w:rPr>
        <w:t xml:space="preserve"> </w:t>
      </w:r>
      <w:r w:rsidRPr="00A86354">
        <w:rPr>
          <w:rFonts w:cs="Arial"/>
          <w:lang w:val="fr-FR"/>
        </w:rPr>
        <w:t>EDF et Inclusion Europe présentent un certain nombre de témoignages de familles de personnes handicapées concernant ces départs pour la Belgique et indiquent que le tribunal administratif de Paris, dans une décision du 15 juillet 2015, a estimé que la prise en charge d’un enfant en Belgique faute d’accompagnement adapté en France constituait un « préjudice moral tenant à l’éloignement de sa famille ».</w:t>
      </w:r>
    </w:p>
    <w:p w:rsidRPr="00A86354" w:rsidR="008F0D0E" w:rsidP="008F0D0E" w:rsidRDefault="008F0D0E" w14:paraId="47738C85" w14:textId="77777777">
      <w:pPr>
        <w:ind w:left="360" w:hanging="360"/>
        <w:rPr>
          <w:rFonts w:ascii="Arial" w:hAnsi="Arial" w:cs="Arial"/>
          <w:lang w:val="fr-FR"/>
        </w:rPr>
      </w:pPr>
    </w:p>
    <w:p w:rsidRPr="00A86354" w:rsidR="00FF47AF" w:rsidP="00A86354" w:rsidRDefault="00FF47AF" w14:paraId="1B2C4863" w14:textId="54F59319">
      <w:pPr>
        <w:pStyle w:val="Heading1"/>
        <w:numPr>
          <w:ilvl w:val="0"/>
          <w:numId w:val="0"/>
        </w:numPr>
        <w:ind w:left="709" w:hanging="360"/>
        <w:rPr>
          <w:lang w:val="fr-FR"/>
        </w:rPr>
      </w:pPr>
      <w:r w:rsidRPr="00A86354">
        <w:rPr>
          <w:lang w:val="fr-FR"/>
        </w:rPr>
        <w:t xml:space="preserve">b. </w:t>
      </w:r>
      <w:r w:rsidRPr="00A86354" w:rsidR="009A57C2">
        <w:rPr>
          <w:lang w:val="fr-FR"/>
        </w:rPr>
        <w:tab/>
      </w:r>
      <w:r w:rsidRPr="00A86354">
        <w:rPr>
          <w:lang w:val="fr-FR"/>
        </w:rPr>
        <w:t>Aide financière</w:t>
      </w:r>
    </w:p>
    <w:p w:rsidRPr="00A86354" w:rsidR="008F0D0E" w:rsidP="008F0D0E" w:rsidRDefault="008F0D0E" w14:paraId="0B43F619" w14:textId="77777777">
      <w:pPr>
        <w:ind w:left="360" w:hanging="360"/>
        <w:rPr>
          <w:rFonts w:ascii="Arial" w:hAnsi="Arial" w:cs="Arial"/>
          <w:lang w:val="fr-FR"/>
        </w:rPr>
      </w:pPr>
    </w:p>
    <w:p w:rsidRPr="00A86354" w:rsidR="00FF47AF" w:rsidP="00CE016A" w:rsidRDefault="00FF47AF" w14:paraId="4C8029C5" w14:textId="77777777">
      <w:pPr>
        <w:pStyle w:val="ListParagraph"/>
        <w:numPr>
          <w:ilvl w:val="0"/>
          <w:numId w:val="1"/>
        </w:numPr>
        <w:ind w:left="0" w:firstLine="0"/>
        <w:rPr>
          <w:rFonts w:cs="Arial"/>
          <w:lang w:val="fr-FR"/>
        </w:rPr>
      </w:pPr>
      <w:r w:rsidRPr="00A86354">
        <w:rPr>
          <w:rFonts w:cs="Arial"/>
          <w:lang w:val="fr-FR"/>
        </w:rPr>
        <w:t>EDF et Inclusion Europe indiquent qu’un accès suffisant à une gamme de services nécessaires à l’accompagnement de l’autonomie de vie incluse dans la société implique aussi d’avoir accès à toute l’aide financière nécessaire pour pouvoir vivre dans la société et s’y insérer.</w:t>
      </w:r>
    </w:p>
    <w:p w:rsidRPr="00A86354" w:rsidR="00FF47AF" w:rsidP="00FF47AF" w:rsidRDefault="00FF47AF" w14:paraId="6BCF4933" w14:textId="77777777">
      <w:pPr>
        <w:pStyle w:val="ListParagraph"/>
        <w:rPr>
          <w:rFonts w:cs="Arial"/>
          <w:lang w:val="fr-FR"/>
        </w:rPr>
      </w:pPr>
    </w:p>
    <w:p w:rsidRPr="00A86354" w:rsidR="00FF47AF" w:rsidP="00CE016A" w:rsidRDefault="005C6622" w14:paraId="0A38132E" w14:textId="2536C101">
      <w:pPr>
        <w:numPr>
          <w:ilvl w:val="0"/>
          <w:numId w:val="1"/>
        </w:numPr>
        <w:ind w:left="0" w:firstLine="0"/>
        <w:rPr>
          <w:rFonts w:ascii="Arial" w:hAnsi="Arial" w:cs="Arial"/>
          <w:lang w:val="fr-FR"/>
        </w:rPr>
      </w:pPr>
      <w:r w:rsidRPr="00A86354">
        <w:rPr>
          <w:rFonts w:ascii="Arial" w:hAnsi="Arial" w:cs="Arial"/>
          <w:lang w:val="fr-FR"/>
        </w:rPr>
        <w:lastRenderedPageBreak/>
        <w:t>Pourtant, selon EDF et Inclusion Europe, le cadre français et sa mise en œuvre ne permettent pas aux personnes handicapées d'avoir un accès suffisant à toutes les aides financières nécessaires et adaptées à chaque situation individuelle. Il existe deux principaux types d'obstacles à l'accès au soutien financier.</w:t>
      </w:r>
    </w:p>
    <w:p w:rsidRPr="00A86354" w:rsidR="00FF47AF" w:rsidP="00A86354" w:rsidRDefault="00FF47AF" w14:paraId="244483AF" w14:textId="77777777">
      <w:pPr>
        <w:pStyle w:val="ListParagraph"/>
        <w:rPr>
          <w:rFonts w:cs="Arial"/>
          <w:lang w:val="fr-FR"/>
        </w:rPr>
      </w:pPr>
    </w:p>
    <w:p w:rsidRPr="00A86354" w:rsidR="005C6622" w:rsidP="00CE016A" w:rsidRDefault="00FF47AF" w14:paraId="3A9CED3F" w14:textId="64CAADFC">
      <w:pPr>
        <w:pStyle w:val="ListParagraph"/>
        <w:numPr>
          <w:ilvl w:val="0"/>
          <w:numId w:val="1"/>
        </w:numPr>
        <w:ind w:left="0" w:firstLine="0"/>
        <w:rPr>
          <w:rFonts w:cs="Arial"/>
          <w:lang w:val="fr-FR"/>
        </w:rPr>
      </w:pPr>
      <w:r w:rsidRPr="00A86354">
        <w:rPr>
          <w:rFonts w:cs="Arial"/>
          <w:lang w:val="fr-FR"/>
        </w:rPr>
        <w:t xml:space="preserve"> Le premier a trait à </w:t>
      </w:r>
      <w:r w:rsidRPr="00A86354">
        <w:rPr>
          <w:rFonts w:cs="Arial"/>
          <w:i/>
          <w:iCs/>
          <w:lang w:val="fr-FR"/>
        </w:rPr>
        <w:t xml:space="preserve">des dispositions législatives et réglementaires restrictives </w:t>
      </w:r>
      <w:r w:rsidRPr="00A86354">
        <w:rPr>
          <w:rFonts w:cs="Arial"/>
          <w:lang w:val="fr-FR"/>
        </w:rPr>
        <w:t>en ce qui concerne l’évaluation des besoins personnels pouvant recevoir une réponse financée. Selon EDF et Inclusion Europe,</w:t>
      </w:r>
      <w:r w:rsidRPr="00A86354">
        <w:rPr>
          <w:lang w:val="fr-FR"/>
        </w:rPr>
        <w:t xml:space="preserve"> les </w:t>
      </w:r>
      <w:r w:rsidRPr="00A86354">
        <w:rPr>
          <w:rFonts w:cs="Arial"/>
          <w:lang w:val="fr-FR"/>
        </w:rPr>
        <w:t>critères d’éligibilité de la PCH, prévus à l’annexe 2-5 du code de l’action sociale et des familles (ci-après « l’annexe 2-5 »),</w:t>
      </w:r>
      <w:r w:rsidRPr="00A86354">
        <w:rPr>
          <w:lang w:val="fr-FR"/>
        </w:rPr>
        <w:t xml:space="preserve"> ont </w:t>
      </w:r>
      <w:r w:rsidRPr="00A86354">
        <w:rPr>
          <w:rFonts w:cs="Arial"/>
          <w:lang w:val="fr-FR"/>
        </w:rPr>
        <w:t>introduit une forme de discrimination en fonction du type et/ou de la lourdeur du handicap. Ces critères restreignant l’éligibilité aux seules personnes présentant une difficulté absolue pour la réalisation d’un des actes ou une difficulté grave pour la réalisation de deux des actes dont la liste figure à l’annexe 2-5 (activités des domaines mobilité,</w:t>
      </w:r>
      <w:r w:rsidRPr="00A86354">
        <w:rPr>
          <w:lang w:val="fr-FR"/>
        </w:rPr>
        <w:t xml:space="preserve"> </w:t>
      </w:r>
      <w:r w:rsidRPr="00A86354">
        <w:rPr>
          <w:rFonts w:cs="Arial"/>
          <w:lang w:val="fr-FR"/>
        </w:rPr>
        <w:t xml:space="preserve">entretien personnel, communication, et tâches et exigences générales, voir plus haut </w:t>
      </w:r>
      <w:r w:rsidR="008532B8">
        <w:rPr>
          <w:rFonts w:cs="Arial"/>
          <w:lang w:val="fr-FR"/>
        </w:rPr>
        <w:t>par.</w:t>
      </w:r>
      <w:r w:rsidRPr="00A86354">
        <w:rPr>
          <w:rFonts w:cs="Arial"/>
          <w:lang w:val="fr-FR"/>
        </w:rPr>
        <w:t> </w:t>
      </w:r>
      <w:r w:rsidRPr="00A86354" w:rsidR="005C6622">
        <w:rPr>
          <w:rFonts w:cs="Arial"/>
          <w:lang w:val="fr-FR"/>
        </w:rPr>
        <w:t>7</w:t>
      </w:r>
      <w:r w:rsidR="003E6AC0">
        <w:rPr>
          <w:rFonts w:cs="Arial"/>
          <w:lang w:val="fr-FR"/>
        </w:rPr>
        <w:t>6</w:t>
      </w:r>
      <w:r w:rsidRPr="00A86354">
        <w:rPr>
          <w:rFonts w:cs="Arial"/>
          <w:lang w:val="fr-FR"/>
        </w:rPr>
        <w:t>) font que seules les personnes les plus lourdement handicapées peuvent prétendre à la PCH.</w:t>
      </w:r>
      <w:r w:rsidRPr="00A86354">
        <w:rPr>
          <w:lang w:val="fr-FR"/>
        </w:rPr>
        <w:t xml:space="preserve"> </w:t>
      </w:r>
      <w:r w:rsidRPr="00A86354" w:rsidR="005C6622">
        <w:rPr>
          <w:rFonts w:cs="Arial"/>
          <w:lang w:val="fr-FR"/>
        </w:rPr>
        <w:t xml:space="preserve">Une grande partie des personnes handicapées qui ont besoin d'une aide personnelle pour être pleinement intégrées dans la société, se retrouvent sans l'aide financière nécessaire pour couvrir leurs besoins quotidiens, parce qu’ils ne remplissent pas ces critères d’éligibilité.  </w:t>
      </w:r>
    </w:p>
    <w:p w:rsidRPr="00A86354" w:rsidR="005C6622" w:rsidP="005C6622" w:rsidRDefault="005C6622" w14:paraId="05F7E37D" w14:textId="77777777">
      <w:pPr>
        <w:rPr>
          <w:rFonts w:ascii="Arial" w:hAnsi="Arial" w:cs="Arial"/>
          <w:lang w:val="fr-FR"/>
        </w:rPr>
      </w:pPr>
    </w:p>
    <w:p w:rsidRPr="00A86354" w:rsidR="00FF47AF" w:rsidP="00CE016A" w:rsidRDefault="00FF47AF" w14:paraId="695403C7" w14:textId="77777777">
      <w:pPr>
        <w:pStyle w:val="ListParagraph"/>
        <w:numPr>
          <w:ilvl w:val="0"/>
          <w:numId w:val="1"/>
        </w:numPr>
        <w:ind w:left="0" w:firstLine="0"/>
        <w:rPr>
          <w:rFonts w:cs="Arial"/>
          <w:lang w:val="fr-FR"/>
        </w:rPr>
      </w:pPr>
      <w:r w:rsidRPr="00A86354">
        <w:rPr>
          <w:rFonts w:cs="Arial"/>
          <w:lang w:val="fr-FR"/>
        </w:rPr>
        <w:t>À cet égard, EDF et Inclusion Europe citent le cas des personnes handicapées psychiques pour lesquelles les critères d’éligibilité énoncés à l’annexe 2-5 s’avèrent tout particulièrement inadaptés. Une évaluation rapide de la situation conduit à considérer que la personne se lave, s’habille, s’alimente, ou encore se développe de façon autonome, alors qu’en l’absence de sollicitations adaptées, de l’organisation de temps spécifiques dédiés à certaines activités, ces personnes peuvent renoncer totalement à des tâches courantes, y compris celles conditionnant la survie (comme celle de s’alimenter).</w:t>
      </w:r>
    </w:p>
    <w:p w:rsidRPr="00A86354" w:rsidR="00FF47AF" w:rsidP="00A86354" w:rsidRDefault="00FF47AF" w14:paraId="5721CEE5" w14:textId="77777777">
      <w:pPr>
        <w:pStyle w:val="ListParagraph"/>
        <w:rPr>
          <w:rFonts w:cs="Arial"/>
          <w:lang w:val="fr-FR"/>
        </w:rPr>
      </w:pPr>
    </w:p>
    <w:p w:rsidRPr="00A86354" w:rsidR="00FF47AF" w:rsidP="00CE016A" w:rsidRDefault="00FF47AF" w14:paraId="470B0CB8" w14:textId="68DD3E7C">
      <w:pPr>
        <w:pStyle w:val="ListParagraph"/>
        <w:numPr>
          <w:ilvl w:val="0"/>
          <w:numId w:val="1"/>
        </w:numPr>
        <w:ind w:left="0" w:firstLine="0"/>
        <w:rPr>
          <w:rFonts w:cs="Arial"/>
          <w:lang w:val="fr-FR"/>
        </w:rPr>
      </w:pPr>
      <w:r w:rsidRPr="00A86354">
        <w:rPr>
          <w:rFonts w:cs="Arial"/>
          <w:lang w:val="fr-FR"/>
        </w:rPr>
        <w:t>En outre, l’« aide humaine » qui peut être financée dans le cadre du dispositif de PCH figurant à l’annexe 2-5 est</w:t>
      </w:r>
      <w:r w:rsidRPr="00A86354" w:rsidR="00145162">
        <w:rPr>
          <w:rFonts w:cs="Arial"/>
          <w:lang w:val="fr-FR"/>
        </w:rPr>
        <w:t xml:space="preserve"> définie de manière</w:t>
      </w:r>
      <w:r w:rsidRPr="00A86354">
        <w:rPr>
          <w:rFonts w:cs="Arial"/>
          <w:lang w:val="fr-FR"/>
        </w:rPr>
        <w:t xml:space="preserve"> très restrictive et ne prend pas en compte les besoins réels des personnes handicapées pour leur pleine intégration sociale.</w:t>
      </w:r>
      <w:r w:rsidRPr="00A86354">
        <w:rPr>
          <w:lang w:val="fr-FR"/>
        </w:rPr>
        <w:t xml:space="preserve"> </w:t>
      </w:r>
      <w:r w:rsidRPr="00A86354">
        <w:rPr>
          <w:rFonts w:cs="Arial"/>
          <w:lang w:val="fr-FR"/>
        </w:rPr>
        <w:t xml:space="preserve">La loi reconnaît seulement trois types d’aides humaines : 1) aux actes essentiels de l’existence, 2) aux besoins de surveillance régulière et 3) aux besoins dans le cadre d’une activité professionnelle ou élective. </w:t>
      </w:r>
      <w:r w:rsidRPr="00A86354" w:rsidR="00145162">
        <w:rPr>
          <w:rFonts w:cs="Arial"/>
          <w:lang w:val="fr-FR"/>
        </w:rPr>
        <w:t>De plus, l</w:t>
      </w:r>
      <w:r w:rsidRPr="00A86354">
        <w:rPr>
          <w:rFonts w:cs="Arial"/>
          <w:lang w:val="fr-FR"/>
        </w:rPr>
        <w:t xml:space="preserve">es « actes essentiels de l’existence » sont entendus de façon très restrictive car ils se limitent aux actes relatifs à l’entretien personnel (toilette, habillage, alimentation, élimination), aux déplacements, à la participation à la vie sociale (voir plus haut </w:t>
      </w:r>
      <w:r w:rsidR="008532B8">
        <w:rPr>
          <w:rFonts w:cs="Arial"/>
          <w:lang w:val="fr-FR"/>
        </w:rPr>
        <w:t xml:space="preserve">par. </w:t>
      </w:r>
      <w:r w:rsidRPr="00A86354">
        <w:rPr>
          <w:rFonts w:cs="Arial"/>
          <w:lang w:val="fr-FR"/>
        </w:rPr>
        <w:t> </w:t>
      </w:r>
      <w:r w:rsidRPr="00A86354" w:rsidR="00145162">
        <w:rPr>
          <w:rFonts w:cs="Arial"/>
          <w:lang w:val="fr-FR"/>
        </w:rPr>
        <w:t>7</w:t>
      </w:r>
      <w:r w:rsidRPr="00A86354" w:rsidR="00A37D15">
        <w:rPr>
          <w:rFonts w:cs="Arial"/>
          <w:lang w:val="fr-FR"/>
        </w:rPr>
        <w:t>6</w:t>
      </w:r>
      <w:r w:rsidRPr="00A86354">
        <w:rPr>
          <w:rFonts w:cs="Arial"/>
          <w:lang w:val="fr-FR"/>
        </w:rPr>
        <w:t>). Ainsi, les besoins en aides ménagères, l’aide à la parentalité, les aides liées à un besoin de communication ou les interventions pendant la nuit ne sont pas couverts par la PCH, alors que ces aides peuvent pourtant contribuer à la dignité des personnes en leur permettant de vivre dans un logement décent et de ne pas se mettre en danger en réalisant avec difficulté les tâches domestiques. Par conséquent, seuls certains types d’actes limitativement définis sont financés par la PCH.</w:t>
      </w:r>
    </w:p>
    <w:p w:rsidRPr="00A86354" w:rsidR="00FF47AF" w:rsidP="00FF47AF" w:rsidRDefault="00FF47AF" w14:paraId="0DF3CD68" w14:textId="77777777">
      <w:pPr>
        <w:pStyle w:val="ListParagraph"/>
        <w:rPr>
          <w:rFonts w:cs="Arial"/>
          <w:lang w:val="fr-FR"/>
        </w:rPr>
      </w:pPr>
    </w:p>
    <w:p w:rsidRPr="00A86354" w:rsidR="00FF47AF" w:rsidP="00CE016A" w:rsidRDefault="00FF47AF" w14:paraId="5D1BCB19" w14:textId="7961F7B5">
      <w:pPr>
        <w:pStyle w:val="ListParagraph"/>
        <w:numPr>
          <w:ilvl w:val="0"/>
          <w:numId w:val="1"/>
        </w:numPr>
        <w:ind w:left="0" w:firstLine="0"/>
        <w:rPr>
          <w:rFonts w:cs="Arial"/>
          <w:lang w:val="fr-FR"/>
        </w:rPr>
      </w:pPr>
      <w:r w:rsidRPr="00A86354">
        <w:rPr>
          <w:rFonts w:cs="Arial"/>
          <w:lang w:val="fr-FR"/>
        </w:rPr>
        <w:t xml:space="preserve">EDF et Inclusion Europe affirment par ailleurs que la loi plafonne le nombre d’heures allouées au titre de la PCH (par exemple, toilette : 70 minutes par jour ; habillage : 40 minutes par jour ; alimentation : 1 heure 45 minutes par jour, voir plus haut </w:t>
      </w:r>
      <w:r w:rsidR="008532B8">
        <w:rPr>
          <w:rFonts w:cs="Arial"/>
          <w:lang w:val="fr-FR"/>
        </w:rPr>
        <w:t>par.</w:t>
      </w:r>
      <w:r w:rsidRPr="00A86354">
        <w:rPr>
          <w:rFonts w:cs="Arial"/>
          <w:lang w:val="fr-FR"/>
        </w:rPr>
        <w:t> </w:t>
      </w:r>
      <w:r w:rsidRPr="00A86354" w:rsidR="000A62A4">
        <w:rPr>
          <w:rFonts w:cs="Arial"/>
          <w:lang w:val="fr-FR"/>
        </w:rPr>
        <w:t>74</w:t>
      </w:r>
      <w:r w:rsidRPr="00A86354">
        <w:rPr>
          <w:rFonts w:cs="Arial"/>
          <w:lang w:val="fr-FR"/>
        </w:rPr>
        <w:t xml:space="preserve">, selon l’annexe 2-5 concernant le temps d’aide humaine maximum accordé par jour au titre de la PCH) et ne permet donc pas toujours de répondre de </w:t>
      </w:r>
      <w:r w:rsidRPr="00A86354">
        <w:rPr>
          <w:rFonts w:cs="Arial"/>
          <w:lang w:val="fr-FR"/>
        </w:rPr>
        <w:lastRenderedPageBreak/>
        <w:t xml:space="preserve">manière suffisante aux besoins des personnes, en particulier de celles qui nécessitent </w:t>
      </w:r>
      <w:bookmarkStart w:name="_Hlk115855769" w:id="16"/>
      <w:r w:rsidRPr="00A86354">
        <w:rPr>
          <w:rFonts w:cs="Arial"/>
          <w:lang w:val="fr-FR"/>
        </w:rPr>
        <w:t>une surveillance régulière</w:t>
      </w:r>
      <w:bookmarkEnd w:id="16"/>
      <w:r w:rsidRPr="00A86354">
        <w:rPr>
          <w:rFonts w:cs="Arial"/>
          <w:lang w:val="fr-FR"/>
        </w:rPr>
        <w:t>. Les organisations réclamantes indiquent que les autorités sont conscientes des problèmes rencontrés par les personnes handicapées, qui ont été mentionnés dans de nombreux rapports publics tels que les rapports d’information du Sénat ou de l’Inspection générale des affaires sociales (IGAS) et les avis du Défenseur des droits.</w:t>
      </w:r>
    </w:p>
    <w:p w:rsidRPr="00A86354" w:rsidR="00FF47AF" w:rsidP="00FF47AF" w:rsidRDefault="00FF47AF" w14:paraId="0E4B6064" w14:textId="77777777">
      <w:pPr>
        <w:rPr>
          <w:rFonts w:ascii="Arial" w:hAnsi="Arial" w:cs="Arial"/>
          <w:lang w:val="fr-FR"/>
        </w:rPr>
      </w:pPr>
    </w:p>
    <w:p w:rsidRPr="00A86354" w:rsidR="00FF47AF" w:rsidP="00CE016A" w:rsidRDefault="00FF47AF" w14:paraId="7CBD9BCA" w14:textId="77777777">
      <w:pPr>
        <w:pStyle w:val="ListParagraph"/>
        <w:numPr>
          <w:ilvl w:val="0"/>
          <w:numId w:val="1"/>
        </w:numPr>
        <w:ind w:left="0" w:firstLine="0"/>
        <w:rPr>
          <w:rFonts w:cs="Arial"/>
          <w:lang w:val="fr-FR"/>
        </w:rPr>
      </w:pPr>
      <w:r w:rsidRPr="00A86354">
        <w:rPr>
          <w:rFonts w:cs="Arial"/>
          <w:lang w:val="fr-FR"/>
        </w:rPr>
        <w:t xml:space="preserve">Le second obstacle a trait à </w:t>
      </w:r>
      <w:r w:rsidRPr="00A86354">
        <w:rPr>
          <w:rFonts w:cs="Arial"/>
          <w:i/>
          <w:iCs/>
          <w:lang w:val="fr-FR"/>
        </w:rPr>
        <w:t xml:space="preserve">des pratiques d’évaluation restrictives. </w:t>
      </w:r>
      <w:r w:rsidRPr="00A86354">
        <w:rPr>
          <w:rFonts w:cs="Arial"/>
          <w:lang w:val="fr-FR"/>
        </w:rPr>
        <w:t>Une interprétation restrictive des besoins des personnes – qu’il s’agisse de l’accès aux aides couvrant les besoins en aide humaine ou en aide technique ou en aménagement du logement – généralement liée au manque de budget public pour financer la PCH, entraîne une limitation de l’accès des personnes handicapées aux aides personnelles.</w:t>
      </w:r>
      <w:r w:rsidRPr="00A86354">
        <w:rPr>
          <w:lang w:val="fr-FR"/>
        </w:rPr>
        <w:t xml:space="preserve"> </w:t>
      </w:r>
      <w:r w:rsidRPr="00A86354">
        <w:rPr>
          <w:rFonts w:cs="Arial"/>
          <w:lang w:val="fr-FR"/>
        </w:rPr>
        <w:t>Les évaluations se font de manière prépondérante sur dossier, sans déplacement sur le lieu de vie ou entretien avec la personne, et avec une quantification minutée du nombre d’heures attribuées au titre de l’aide humaine.</w:t>
      </w:r>
      <w:r w:rsidRPr="00A86354">
        <w:rPr>
          <w:lang w:val="fr-FR"/>
        </w:rPr>
        <w:t xml:space="preserve"> </w:t>
      </w:r>
      <w:r w:rsidRPr="00A86354">
        <w:rPr>
          <w:rFonts w:cs="Arial"/>
          <w:lang w:val="fr-FR"/>
        </w:rPr>
        <w:t>Ces pratiques ne permettent pas une bonne prise en compte des besoins liés aux handicaps et aboutissent à une attribution très réduite du nombre d’heures d’aide humaine.</w:t>
      </w:r>
    </w:p>
    <w:p w:rsidRPr="00A86354" w:rsidR="00FF47AF" w:rsidP="00FF47AF" w:rsidRDefault="00FF47AF" w14:paraId="110E8ED2" w14:textId="77777777">
      <w:pPr>
        <w:ind w:left="360" w:hanging="360"/>
        <w:rPr>
          <w:rFonts w:ascii="Arial" w:hAnsi="Arial" w:cs="Arial"/>
          <w:lang w:val="fr-FR"/>
        </w:rPr>
      </w:pPr>
    </w:p>
    <w:p w:rsidRPr="00A86354" w:rsidR="00FF47AF" w:rsidP="00CE016A" w:rsidRDefault="00FF47AF" w14:paraId="7689BA45" w14:textId="77777777">
      <w:pPr>
        <w:pStyle w:val="ListParagraph"/>
        <w:numPr>
          <w:ilvl w:val="0"/>
          <w:numId w:val="1"/>
        </w:numPr>
        <w:ind w:left="0" w:firstLine="0"/>
        <w:rPr>
          <w:rFonts w:cs="Arial"/>
          <w:lang w:val="fr-FR"/>
        </w:rPr>
      </w:pPr>
      <w:r w:rsidRPr="00A86354">
        <w:rPr>
          <w:rFonts w:cs="Arial"/>
          <w:lang w:val="fr-FR"/>
        </w:rPr>
        <w:t>EDF et Inclusion Europe signalent également un certain nombre de mauvaises pratiques ou d’interprétations abusives des textes aboutissant à minorer les montants alloués ou à réclamer des indus importants, comme une réduction substantielle du nombre d’heures d’aide humaine financées au moment du renouvellement de la prestation ou la réévaluation à la baisse du nombre d’heures d’aide humaine à la suite du dépôt d’une demande concernant un autre volet de la PCH, aide technique par exemple, sans qu’il n’y ait aucune amélioration de l’état de l’intéressé.</w:t>
      </w:r>
    </w:p>
    <w:p w:rsidRPr="00A86354" w:rsidR="00FF47AF" w:rsidP="00FF47AF" w:rsidRDefault="00FF47AF" w14:paraId="1CBBDACF" w14:textId="77777777">
      <w:pPr>
        <w:rPr>
          <w:rFonts w:ascii="Arial" w:hAnsi="Arial" w:cs="Arial"/>
          <w:lang w:val="fr-FR"/>
        </w:rPr>
      </w:pPr>
    </w:p>
    <w:p w:rsidRPr="00A86354" w:rsidR="00FF47AF" w:rsidP="00CE016A" w:rsidRDefault="00FF47AF" w14:paraId="6DC606D8" w14:textId="77777777">
      <w:pPr>
        <w:pStyle w:val="ListParagraph"/>
        <w:numPr>
          <w:ilvl w:val="0"/>
          <w:numId w:val="1"/>
        </w:numPr>
        <w:ind w:left="0" w:firstLine="0"/>
        <w:rPr>
          <w:rFonts w:cs="Arial"/>
          <w:lang w:val="fr-FR"/>
        </w:rPr>
      </w:pPr>
      <w:r w:rsidRPr="00A86354">
        <w:rPr>
          <w:rFonts w:cs="Arial"/>
          <w:lang w:val="fr-FR"/>
        </w:rPr>
        <w:t>Selon les organisations réclamantes, ces difficultés sont renforcées par l’absence de pilotage des politiques publiques qui empêche l’harmonisation des pratiques d’évaluation entre les différentes MDPH. À ce sujet, les organisations réclamantes renvoient à un rapport d’information de 2015 (n° 2507) de l’Assemblée nationale et à un rapport de 2016 de l’IGAS, qui font état d’inégalités dans l’attribution de la PCH en raison de différences dans les pratiques des équipes pluridisciplinaires chargées d’évaluer les besoins de compensation. Ces rapports soulignent que le Guide d’évaluation des besoins de compensation des personnes handicapées (GEVA), qui vise à faciliter le processus d’évaluation et constitue un vecteur d’harmonisation des pratiques, n’est pas toujours utilisé par les MDPH et que certaines d’entre elles préfèrent conserver leurs propres interprétations, qui sont parfois plus restrictives et guidées par un souci d’économiser davantage l’argent public.</w:t>
      </w:r>
    </w:p>
    <w:p w:rsidRPr="00A86354" w:rsidR="00FF47AF" w:rsidP="00FF47AF" w:rsidRDefault="00FF47AF" w14:paraId="61018FE4" w14:textId="77777777">
      <w:pPr>
        <w:rPr>
          <w:rFonts w:ascii="Arial" w:hAnsi="Arial" w:cs="Arial"/>
          <w:lang w:val="fr-FR"/>
        </w:rPr>
      </w:pPr>
    </w:p>
    <w:p w:rsidRPr="00A86354" w:rsidR="00FF47AF" w:rsidP="00CE016A" w:rsidRDefault="00FF47AF" w14:paraId="13FA0EC0" w14:textId="77777777">
      <w:pPr>
        <w:pStyle w:val="ListParagraph"/>
        <w:numPr>
          <w:ilvl w:val="0"/>
          <w:numId w:val="1"/>
        </w:numPr>
        <w:ind w:left="0" w:firstLine="0"/>
        <w:rPr>
          <w:rFonts w:cs="Arial"/>
          <w:lang w:val="fr-FR"/>
        </w:rPr>
      </w:pPr>
      <w:r w:rsidRPr="00A86354">
        <w:rPr>
          <w:rFonts w:cs="Arial"/>
          <w:lang w:val="fr-FR"/>
        </w:rPr>
        <w:t xml:space="preserve">Selon EDF et Inclusion Europe, dans le cas des aides techniques, l’absence de pilotage des politiques publiques, comme l’ont également relevé plusieurs rapports publics nationaux (de l’IGAS et de l’Assemblée nationale), est dû au fait que la compensation/le financement des aides techniques est réparti entre de multiples organismes dont le poids relatif est trop faible pour chacun d’entre eux pour que les incohérences et la maîtrise des coûts constituent une priorité de réforme. L’absence de pilotage, associée à une diversité de financements, </w:t>
      </w:r>
      <w:proofErr w:type="gramStart"/>
      <w:r w:rsidRPr="00A86354">
        <w:rPr>
          <w:rFonts w:cs="Arial"/>
          <w:lang w:val="fr-FR"/>
        </w:rPr>
        <w:t>a</w:t>
      </w:r>
      <w:proofErr w:type="gramEnd"/>
      <w:r w:rsidRPr="00A86354">
        <w:rPr>
          <w:rFonts w:cs="Arial"/>
          <w:lang w:val="fr-FR"/>
        </w:rPr>
        <w:t xml:space="preserve"> des conséquences directes sur les bénéficiaires, car elle nuit à la qualité du service fourni, en particulier dans </w:t>
      </w:r>
      <w:r w:rsidRPr="00A86354">
        <w:rPr>
          <w:rFonts w:cs="Arial"/>
          <w:lang w:val="fr-FR"/>
        </w:rPr>
        <w:lastRenderedPageBreak/>
        <w:t>l’identification des aides techniques, les délais de mise à disposition des aides et la qualité des aides fournies.</w:t>
      </w:r>
    </w:p>
    <w:p w:rsidRPr="00A86354" w:rsidR="00FF47AF" w:rsidP="00FF47AF" w:rsidRDefault="00FF47AF" w14:paraId="7B1484F5" w14:textId="77777777">
      <w:pPr>
        <w:ind w:left="360" w:hanging="360"/>
        <w:rPr>
          <w:rFonts w:ascii="Arial" w:hAnsi="Arial" w:cs="Arial"/>
          <w:lang w:val="fr-FR"/>
        </w:rPr>
      </w:pPr>
    </w:p>
    <w:p w:rsidRPr="00A86354" w:rsidR="00FF47AF" w:rsidP="00CE016A" w:rsidRDefault="00FF47AF" w14:paraId="5D3DA775" w14:textId="77777777">
      <w:pPr>
        <w:pStyle w:val="ListParagraph"/>
        <w:numPr>
          <w:ilvl w:val="0"/>
          <w:numId w:val="1"/>
        </w:numPr>
        <w:ind w:left="0" w:firstLine="0"/>
        <w:rPr>
          <w:rFonts w:cs="Arial"/>
          <w:lang w:val="fr-FR"/>
        </w:rPr>
      </w:pPr>
      <w:r w:rsidRPr="00A86354">
        <w:rPr>
          <w:rFonts w:cs="Arial"/>
          <w:lang w:val="fr-FR"/>
        </w:rPr>
        <w:t xml:space="preserve">En ce qui concerne les retards de traitement par les MDPH des demandes de PCH déposées par les personnes dans le besoin, les organisations réclamantes se réfèrent au rapport d’information n° 635 du Sénat du 4 juillet 2012, qui indique que l’augmentation des demandes et le développement des missions des MDPH </w:t>
      </w:r>
      <w:proofErr w:type="gramStart"/>
      <w:r w:rsidRPr="00A86354">
        <w:rPr>
          <w:rFonts w:cs="Arial"/>
          <w:lang w:val="fr-FR"/>
        </w:rPr>
        <w:t>ont</w:t>
      </w:r>
      <w:proofErr w:type="gramEnd"/>
      <w:r w:rsidRPr="00A86354">
        <w:rPr>
          <w:rFonts w:cs="Arial"/>
          <w:lang w:val="fr-FR"/>
        </w:rPr>
        <w:t xml:space="preserve"> des conséquences directes sur les délais de traitement, qui restent encore très longs malgré les efforts de rationalisation des processus et d’accélération de la prise de décision. Selon ce rapport, le délai de traitement des demandes de PCH est d’environ 6,5 mois, ce qui, d’après EDF et Inclusion Europe, prive </w:t>
      </w:r>
      <w:r w:rsidRPr="00A86354">
        <w:rPr>
          <w:rFonts w:cs="Arial"/>
          <w:i/>
          <w:iCs/>
          <w:lang w:val="fr-FR"/>
        </w:rPr>
        <w:t>in fine</w:t>
      </w:r>
      <w:r w:rsidRPr="00A86354">
        <w:rPr>
          <w:rFonts w:cs="Arial"/>
          <w:lang w:val="fr-FR"/>
        </w:rPr>
        <w:t xml:space="preserve"> les personnes handicapées d’un accès effectif à l’aide humaine/technique et </w:t>
      </w:r>
      <w:proofErr w:type="gramStart"/>
      <w:r w:rsidRPr="00A86354">
        <w:rPr>
          <w:rFonts w:cs="Arial"/>
          <w:lang w:val="fr-FR"/>
        </w:rPr>
        <w:t>a</w:t>
      </w:r>
      <w:proofErr w:type="gramEnd"/>
      <w:r w:rsidRPr="00A86354">
        <w:rPr>
          <w:rFonts w:cs="Arial"/>
          <w:lang w:val="fr-FR"/>
        </w:rPr>
        <w:t xml:space="preserve"> des répercussions plus lourdes, s’agissant des tout petits en particulier dont les besoins doivent être précocement pris en compte.</w:t>
      </w:r>
    </w:p>
    <w:p w:rsidRPr="00A86354" w:rsidR="00FF47AF" w:rsidP="00FF47AF" w:rsidRDefault="00FF47AF" w14:paraId="214E2878" w14:textId="77777777">
      <w:pPr>
        <w:ind w:left="360" w:hanging="360"/>
        <w:rPr>
          <w:rFonts w:ascii="Arial" w:hAnsi="Arial" w:cs="Arial"/>
          <w:lang w:val="fr-FR"/>
        </w:rPr>
      </w:pPr>
    </w:p>
    <w:p w:rsidRPr="00A86354" w:rsidR="00FF47AF" w:rsidP="00CE016A" w:rsidRDefault="00FF47AF" w14:paraId="4E734BD3" w14:textId="77777777">
      <w:pPr>
        <w:pStyle w:val="ListParagraph"/>
        <w:numPr>
          <w:ilvl w:val="0"/>
          <w:numId w:val="1"/>
        </w:numPr>
        <w:ind w:left="0" w:firstLine="0"/>
        <w:rPr>
          <w:rFonts w:cs="Arial"/>
          <w:lang w:val="fr-FR"/>
        </w:rPr>
      </w:pPr>
      <w:r w:rsidRPr="00A86354">
        <w:rPr>
          <w:rFonts w:cs="Arial"/>
          <w:lang w:val="fr-FR"/>
        </w:rPr>
        <w:t>En raison de ces obstacles réglementaires et pratiques à l’accès à l’aide financière, les personnes handicapées doivent supporter d’importants restes à charge et financer elles-mêmes une partie de leurs besoins d’aide. Dans la plupart des cas, cela se traduit par la non-acquisition, par exemple, de l’aide technique, faute de ressources suffisantes. Les organisations réclamantes mentionnent un rapport de 2016 de l’IGAS indiquant que le reste à charge maximum pour les fauteuils roulants peut aller jusqu’à près de 14 000 EUR (3 963 EUR en moyenne). Selon un rapport de 2010 de l’Association française contre les myopathies, après le financement légal provenant de l’assurance maladie et de la MDPH, le reste à charge moyen (pour les aides techniques et les fauteuils roulants) est de 6 449 EUR ; dans 20 % des cas, il dépasse 11 609 EUR. Les coûts d’aménagement du logement peuvent être couverts par la PCH dans la limite de 50 % des dépenses, le plafond étant fixé à 10 000 EUR sur 10 ans.</w:t>
      </w:r>
    </w:p>
    <w:p w:rsidRPr="00A86354" w:rsidR="00FF47AF" w:rsidP="00FF47AF" w:rsidRDefault="00FF47AF" w14:paraId="3830BB63" w14:textId="77777777">
      <w:pPr>
        <w:ind w:left="360" w:hanging="360"/>
        <w:rPr>
          <w:rFonts w:ascii="Arial" w:hAnsi="Arial" w:cs="Arial"/>
          <w:lang w:val="fr-FR"/>
        </w:rPr>
      </w:pPr>
    </w:p>
    <w:p w:rsidRPr="00A86354" w:rsidR="00FF47AF" w:rsidP="00CE016A" w:rsidRDefault="00FF47AF" w14:paraId="4091A7B8" w14:textId="587C3C11">
      <w:pPr>
        <w:pStyle w:val="ListParagraph"/>
        <w:numPr>
          <w:ilvl w:val="0"/>
          <w:numId w:val="1"/>
        </w:numPr>
        <w:ind w:left="0" w:firstLine="0"/>
        <w:rPr>
          <w:rFonts w:cs="Arial"/>
          <w:lang w:val="fr-FR"/>
        </w:rPr>
      </w:pPr>
      <w:r w:rsidRPr="00A86354">
        <w:rPr>
          <w:rFonts w:cs="Arial"/>
          <w:lang w:val="fr-FR"/>
        </w:rPr>
        <w:t xml:space="preserve">Bien que la loi de 2005 prévoie la possibilité de faire appel au « fonds départemental de compensation » afin d’accorder des aides financières destinées à prendre en charge les restes à charge, le décret d’application qui qui permettrait de règlementer le recours à ces fonds n’a jamais été publié, malgré la décision du Conseil d’État du 24 février 2016 ordonnant au ministère compétent de le publier dans un délai de 9 mois. Dans la pratique et en l’absence du décret en question, les MDPH restreignent l’utilisation des fonds départementaux à certains besoins de </w:t>
      </w:r>
      <w:r w:rsidRPr="00A86354">
        <w:rPr>
          <w:rFonts w:cs="Arial" w:eastAsiaTheme="minorHAnsi"/>
          <w:lang w:val="fr-FR" w:eastAsia="en-US"/>
        </w:rPr>
        <w:t xml:space="preserve">compensation </w:t>
      </w:r>
      <w:r w:rsidRPr="00A86354">
        <w:rPr>
          <w:rFonts w:cs="Arial"/>
          <w:lang w:val="fr-FR"/>
        </w:rPr>
        <w:t xml:space="preserve">(voir plus bas </w:t>
      </w:r>
      <w:r w:rsidR="008532B8">
        <w:rPr>
          <w:rFonts w:cs="Arial"/>
          <w:lang w:val="fr-FR"/>
        </w:rPr>
        <w:t>par.</w:t>
      </w:r>
      <w:r w:rsidRPr="00A86354">
        <w:rPr>
          <w:rFonts w:cs="Arial"/>
          <w:lang w:val="fr-FR"/>
        </w:rPr>
        <w:t> </w:t>
      </w:r>
      <w:r w:rsidRPr="00A86354" w:rsidR="000A62A4">
        <w:rPr>
          <w:rFonts w:cs="Arial"/>
          <w:lang w:val="fr-FR"/>
        </w:rPr>
        <w:t>20</w:t>
      </w:r>
      <w:r w:rsidR="003E6AC0">
        <w:rPr>
          <w:rFonts w:cs="Arial"/>
          <w:lang w:val="fr-FR"/>
        </w:rPr>
        <w:t>9</w:t>
      </w:r>
      <w:r w:rsidRPr="00A86354">
        <w:rPr>
          <w:rFonts w:cs="Arial"/>
          <w:lang w:val="fr-FR"/>
        </w:rPr>
        <w:t xml:space="preserve"> concernant l’adoption du décret du 25 avril 2022 relatif à l’utilisation des fonds départementaux). Les rapports publi</w:t>
      </w:r>
      <w:r w:rsidRPr="00A86354" w:rsidR="00E1050C">
        <w:rPr>
          <w:rFonts w:cs="Arial"/>
          <w:lang w:val="fr-FR"/>
        </w:rPr>
        <w:t>é</w:t>
      </w:r>
      <w:r w:rsidRPr="00A86354">
        <w:rPr>
          <w:rFonts w:cs="Arial"/>
          <w:lang w:val="fr-FR"/>
        </w:rPr>
        <w:t xml:space="preserve">s (IGAS, Assemblée nationale) font état d’une grande hétérogénéité des fonctionnements des fonds de </w:t>
      </w:r>
      <w:r w:rsidRPr="00A86354">
        <w:rPr>
          <w:rFonts w:cs="Arial" w:eastAsiaTheme="minorHAnsi"/>
          <w:lang w:val="fr-FR" w:eastAsia="en-US"/>
        </w:rPr>
        <w:t>compensation</w:t>
      </w:r>
      <w:r w:rsidRPr="00A86354">
        <w:rPr>
          <w:rFonts w:cs="Arial"/>
          <w:lang w:val="fr-FR"/>
        </w:rPr>
        <w:t xml:space="preserve"> en France.</w:t>
      </w:r>
    </w:p>
    <w:p w:rsidRPr="00A86354" w:rsidR="00FF47AF" w:rsidP="00FF47AF" w:rsidRDefault="00FF47AF" w14:paraId="2EDC271F" w14:textId="77777777">
      <w:pPr>
        <w:ind w:left="360" w:hanging="360"/>
        <w:rPr>
          <w:rFonts w:ascii="Arial" w:hAnsi="Arial" w:cs="Arial"/>
          <w:lang w:val="fr-FR"/>
        </w:rPr>
      </w:pPr>
    </w:p>
    <w:p w:rsidRPr="00A86354" w:rsidR="00FF47AF" w:rsidP="00CE016A" w:rsidRDefault="00FF47AF" w14:paraId="4ED58B9B" w14:textId="77777777">
      <w:pPr>
        <w:pStyle w:val="ListParagraph"/>
        <w:numPr>
          <w:ilvl w:val="0"/>
          <w:numId w:val="1"/>
        </w:numPr>
        <w:ind w:left="0" w:firstLine="0"/>
        <w:rPr>
          <w:rFonts w:cs="Arial"/>
          <w:lang w:val="fr-FR"/>
        </w:rPr>
      </w:pPr>
      <w:r w:rsidRPr="00A86354">
        <w:rPr>
          <w:rFonts w:cs="Arial"/>
          <w:lang w:val="fr-FR"/>
        </w:rPr>
        <w:t xml:space="preserve">EDF et Inclusion Europe relèvent par ailleurs que le Comité interministériel du handicap </w:t>
      </w:r>
      <w:r w:rsidRPr="00A86354">
        <w:rPr>
          <w:lang w:val="fr-FR"/>
        </w:rPr>
        <w:t xml:space="preserve">réuni le 25 octobre 2018 avait décidé d’engager la révision de la liste des produits et prestations remboursables et d’actualiser l’arrêté fixant les tarifs de la PCH concernant les aides techniques, en cohérence avec l’évolution des besoins. Or, malgré les grandes difficultés que rencontrent les personnes handicapées en matière de remboursements, ce projet n’a toujours pas été mis en œuvre. D’autres projets sont certes mentionnés par le Gouvernement, comme le chantier « Simplifier et améliorer la PCH ». Cependant, celui-ci se concentre sur des enjeux particuliers, tels que le possible élargissement aux aides ménagères et au soutien parental et la </w:t>
      </w:r>
      <w:r w:rsidRPr="00A86354">
        <w:rPr>
          <w:lang w:val="fr-FR"/>
        </w:rPr>
        <w:lastRenderedPageBreak/>
        <w:t xml:space="preserve">possible prise en compte des besoins liés au </w:t>
      </w:r>
      <w:bookmarkStart w:name="_Hlk115855925" w:id="17"/>
      <w:r w:rsidRPr="00A86354">
        <w:rPr>
          <w:lang w:val="fr-FR"/>
        </w:rPr>
        <w:t>handicap psychique</w:t>
      </w:r>
      <w:bookmarkEnd w:id="17"/>
      <w:r w:rsidRPr="00A86354">
        <w:rPr>
          <w:lang w:val="fr-FR"/>
        </w:rPr>
        <w:t>, mais n’aborde ni la question des restes à charge des personnes concernant différents volets de la PCH (aide humaine, aménagement du logement, surcoûts liés aux transports, etc.), ni celle des pratiques administratives restrictives.</w:t>
      </w:r>
    </w:p>
    <w:p w:rsidRPr="00A86354" w:rsidR="00FF47AF" w:rsidP="00A86354" w:rsidRDefault="00FF47AF" w14:paraId="71598DC0" w14:textId="77777777">
      <w:pPr>
        <w:pStyle w:val="ListParagraph"/>
        <w:rPr>
          <w:rFonts w:cs="Arial"/>
          <w:lang w:val="fr-FR"/>
        </w:rPr>
      </w:pPr>
    </w:p>
    <w:p w:rsidRPr="00A86354" w:rsidR="00FF47AF" w:rsidP="00CE016A" w:rsidRDefault="00FF47AF" w14:paraId="139FF3CB" w14:textId="77777777">
      <w:pPr>
        <w:pStyle w:val="ListParagraph"/>
        <w:numPr>
          <w:ilvl w:val="0"/>
          <w:numId w:val="1"/>
        </w:numPr>
        <w:ind w:left="0" w:firstLine="0"/>
        <w:rPr>
          <w:rFonts w:cs="Arial"/>
          <w:lang w:val="fr-FR"/>
        </w:rPr>
      </w:pPr>
      <w:r w:rsidRPr="00A86354">
        <w:rPr>
          <w:rFonts w:cs="Arial"/>
          <w:lang w:val="fr-FR"/>
        </w:rPr>
        <w:t>EDF et Inclusion Europe concluent que les carences du dispositif français de prestations individuelles sont le reflet d’un défaut de conception de la politique du handicap : la mise en œuvre d’une approche médicale du handicap et non fondée sur les droits de l’homme est par conséquent restrictive dans sa prise en compte des besoins d’aide personnelle nécessaire pour pouvoir vivre dans la société et s’y insérer.</w:t>
      </w:r>
      <w:r w:rsidRPr="00A86354">
        <w:rPr>
          <w:lang w:val="fr-FR"/>
        </w:rPr>
        <w:t xml:space="preserve"> </w:t>
      </w:r>
      <w:r w:rsidRPr="00A86354">
        <w:rPr>
          <w:rFonts w:cs="Arial"/>
          <w:lang w:val="fr-FR"/>
        </w:rPr>
        <w:t>Le dispositif français de prestations individuelles ne s’apparente pas à un véritable droit à l’aide personnelle dans tous les domaines de la vie pour pouvoir vivre dans la société et s’y insérer.</w:t>
      </w:r>
    </w:p>
    <w:p w:rsidRPr="00A86354" w:rsidR="00FF47AF" w:rsidP="00FF47AF" w:rsidRDefault="00FF47AF" w14:paraId="7A585BBB" w14:textId="77777777">
      <w:pPr>
        <w:rPr>
          <w:rFonts w:ascii="Arial" w:hAnsi="Arial" w:cs="Arial"/>
          <w:lang w:val="fr-FR"/>
        </w:rPr>
      </w:pPr>
    </w:p>
    <w:p w:rsidRPr="00A86354" w:rsidR="00FF47AF" w:rsidP="00FF47AF" w:rsidRDefault="00FF47AF" w14:paraId="2AC3FC7C" w14:textId="77777777">
      <w:pPr>
        <w:rPr>
          <w:rFonts w:ascii="Arial" w:hAnsi="Arial" w:cs="Arial"/>
          <w:i/>
          <w:iCs/>
          <w:lang w:val="fr-FR"/>
        </w:rPr>
      </w:pPr>
      <w:r w:rsidRPr="00A86354">
        <w:rPr>
          <w:rFonts w:ascii="Arial" w:hAnsi="Arial" w:cs="Arial"/>
          <w:i/>
          <w:iCs/>
          <w:lang w:val="fr-FR"/>
        </w:rPr>
        <w:t>Accessibilité des services et équipements publics</w:t>
      </w:r>
    </w:p>
    <w:p w:rsidRPr="00A86354" w:rsidR="00FF47AF" w:rsidP="00FF47AF" w:rsidRDefault="00FF47AF" w14:paraId="3BB9FC16" w14:textId="77777777">
      <w:pPr>
        <w:rPr>
          <w:rFonts w:ascii="Arial" w:hAnsi="Arial" w:cs="Arial"/>
          <w:lang w:val="fr-FR"/>
        </w:rPr>
      </w:pPr>
    </w:p>
    <w:p w:rsidRPr="00A86354" w:rsidR="00FF47AF" w:rsidP="00CE016A" w:rsidRDefault="00FF47AF" w14:paraId="6908A611" w14:textId="77777777">
      <w:pPr>
        <w:pStyle w:val="ListParagraph"/>
        <w:numPr>
          <w:ilvl w:val="0"/>
          <w:numId w:val="1"/>
        </w:numPr>
        <w:ind w:left="0" w:firstLine="0"/>
        <w:rPr>
          <w:rFonts w:cs="Arial"/>
          <w:lang w:val="fr-FR"/>
        </w:rPr>
      </w:pPr>
      <w:r w:rsidRPr="00A86354">
        <w:rPr>
          <w:rFonts w:cs="Arial"/>
          <w:lang w:val="fr-FR"/>
        </w:rPr>
        <w:t>EDF et Inclusion Europe affirment que l’accès aux services et équipements destinés à la population générale est une condition indispensable au respect du droit à l’autonomie des personnes handicapées.</w:t>
      </w:r>
    </w:p>
    <w:p w:rsidRPr="00A86354" w:rsidR="00FF47AF" w:rsidP="00FF47AF" w:rsidRDefault="00FF47AF" w14:paraId="0BD7BE5C" w14:textId="77777777">
      <w:pPr>
        <w:pStyle w:val="ListParagraph"/>
        <w:rPr>
          <w:rFonts w:cs="Arial"/>
          <w:lang w:val="fr-FR"/>
        </w:rPr>
      </w:pPr>
    </w:p>
    <w:p w:rsidRPr="00A86354" w:rsidR="00FF47AF" w:rsidP="00CE016A" w:rsidRDefault="00FF47AF" w14:paraId="6EAE7D47" w14:textId="77777777">
      <w:pPr>
        <w:pStyle w:val="ListParagraph"/>
        <w:numPr>
          <w:ilvl w:val="0"/>
          <w:numId w:val="1"/>
        </w:numPr>
        <w:ind w:left="0" w:firstLine="0"/>
        <w:rPr>
          <w:rFonts w:cs="Arial"/>
          <w:lang w:val="fr-FR"/>
        </w:rPr>
      </w:pPr>
      <w:r w:rsidRPr="00A86354">
        <w:rPr>
          <w:rFonts w:cs="Arial"/>
          <w:lang w:val="fr-FR"/>
        </w:rPr>
        <w:t xml:space="preserve">Se référant au rapport de 2015 du Commissaire aux droits de l’homme du Conseil de l’Europe et au rapport de 2019 de la Rapporteuse spéciale des Nations Unies, qui relèvent tous deux l’insuffisante accessibilité de l’environnement physique, de l’information et de la communication, EDF et Inclusion Europe font valoir qu’en France, le manque d’accessibilité constitue une véritable barrière qui empêche les personnes handicapées de bénéficier des services et équipements destinés à la population générale et que le droit des personnes handicapées est depuis des décennies entravé par la carence des autorités à prendre en compte le droit à l’accessibilité du cadre de vie. </w:t>
      </w:r>
    </w:p>
    <w:p w:rsidRPr="00A86354" w:rsidR="00FF47AF" w:rsidP="00FF47AF" w:rsidRDefault="00FF47AF" w14:paraId="3708ECED" w14:textId="77777777">
      <w:pPr>
        <w:ind w:left="360" w:hanging="360"/>
        <w:rPr>
          <w:rFonts w:ascii="Arial" w:hAnsi="Arial" w:cs="Arial"/>
          <w:lang w:val="fr-FR"/>
        </w:rPr>
      </w:pPr>
    </w:p>
    <w:p w:rsidRPr="00A86354" w:rsidR="00FF47AF" w:rsidP="00CE016A" w:rsidRDefault="00FF47AF" w14:paraId="6C761BBC" w14:textId="26EE5B75">
      <w:pPr>
        <w:pStyle w:val="ListParagraph"/>
        <w:numPr>
          <w:ilvl w:val="0"/>
          <w:numId w:val="1"/>
        </w:numPr>
        <w:ind w:left="0" w:firstLine="0"/>
        <w:rPr>
          <w:rFonts w:cs="Arial"/>
          <w:lang w:val="fr-FR"/>
        </w:rPr>
      </w:pPr>
      <w:r w:rsidRPr="00A86354">
        <w:rPr>
          <w:rFonts w:cs="Arial"/>
          <w:lang w:val="fr-FR"/>
        </w:rPr>
        <w:t xml:space="preserve">EDF et Inclusion Europe soulignent que la </w:t>
      </w:r>
      <w:bookmarkStart w:name="_Hlk115856013" w:id="18"/>
      <w:r w:rsidRPr="00A86354">
        <w:rPr>
          <w:rFonts w:cs="Arial"/>
          <w:lang w:val="fr-FR"/>
        </w:rPr>
        <w:t xml:space="preserve">loi de 1975 d’orientation en faveur des personnes handicapées </w:t>
      </w:r>
      <w:bookmarkEnd w:id="18"/>
      <w:r w:rsidRPr="00A86354">
        <w:rPr>
          <w:rFonts w:cs="Arial"/>
          <w:lang w:val="fr-FR"/>
        </w:rPr>
        <w:t>prévoit la mise en accessibilité de la société. Face à l’absence d’effectivité depuis 30 ans de cette obligation, la loi de 2005 a réaffirmé le principe d’accessibilité et posé, pour les établissements recevant du public (ERP), un délai de 10 ans pour répondre aux exigences d’accessibilité. Cependant, comme le Gouvernement l’a reconnu dans le rapport initial de la France sur la mise en œuvre de la C</w:t>
      </w:r>
      <w:r w:rsidRPr="00A86354" w:rsidR="00D0702D">
        <w:rPr>
          <w:rFonts w:cs="Arial"/>
          <w:lang w:val="fr-FR"/>
        </w:rPr>
        <w:t>I</w:t>
      </w:r>
      <w:r w:rsidRPr="00A86354">
        <w:rPr>
          <w:rFonts w:cs="Arial"/>
          <w:lang w:val="fr-FR"/>
        </w:rPr>
        <w:t>DPH remis en 2016,</w:t>
      </w:r>
      <w:r w:rsidRPr="00A86354">
        <w:rPr>
          <w:lang w:val="fr-FR"/>
        </w:rPr>
        <w:t xml:space="preserve"> </w:t>
      </w:r>
      <w:r w:rsidRPr="00A86354">
        <w:rPr>
          <w:rFonts w:cs="Arial"/>
          <w:lang w:val="fr-FR"/>
        </w:rPr>
        <w:t>l’objectif fixé dans la loi de 2005 n’a pas pu être atteint, essentiellement en raison des montants financiers importants à réunir pour permettre l’accessibilité.</w:t>
      </w:r>
    </w:p>
    <w:p w:rsidRPr="00A86354" w:rsidR="00FF47AF" w:rsidP="00FF47AF" w:rsidRDefault="00FF47AF" w14:paraId="0A12DAC2" w14:textId="77777777">
      <w:pPr>
        <w:ind w:left="360" w:hanging="360"/>
        <w:rPr>
          <w:rFonts w:ascii="Arial" w:hAnsi="Arial" w:cs="Arial"/>
          <w:lang w:val="fr-FR"/>
        </w:rPr>
      </w:pPr>
    </w:p>
    <w:p w:rsidRPr="00A86354" w:rsidR="00FF47AF" w:rsidP="00CE016A" w:rsidRDefault="00FF47AF" w14:paraId="105F07D7" w14:textId="77777777">
      <w:pPr>
        <w:pStyle w:val="ListParagraph"/>
        <w:numPr>
          <w:ilvl w:val="0"/>
          <w:numId w:val="1"/>
        </w:numPr>
        <w:ind w:left="0" w:firstLine="0"/>
        <w:rPr>
          <w:rFonts w:cs="Arial"/>
          <w:lang w:val="fr-FR"/>
        </w:rPr>
      </w:pPr>
      <w:r w:rsidRPr="00A86354">
        <w:rPr>
          <w:rFonts w:cs="Arial"/>
          <w:lang w:val="fr-FR"/>
        </w:rPr>
        <w:t>Les organisations réclamantes affirment que</w:t>
      </w:r>
      <w:r w:rsidRPr="00A86354">
        <w:rPr>
          <w:lang w:val="fr-FR"/>
        </w:rPr>
        <w:t xml:space="preserve"> </w:t>
      </w:r>
      <w:r w:rsidRPr="00A86354">
        <w:rPr>
          <w:rFonts w:cs="Arial"/>
          <w:lang w:val="fr-FR"/>
        </w:rPr>
        <w:t>c’est surtout l’absence de politique coordonnée pour assurer le pilotage et la montée en charge de la mise en accessibilité de la société qui est la cause de cet échec.</w:t>
      </w:r>
      <w:r w:rsidRPr="00A86354">
        <w:rPr>
          <w:lang w:val="fr-FR"/>
        </w:rPr>
        <w:t xml:space="preserve"> </w:t>
      </w:r>
      <w:r w:rsidRPr="00A86354">
        <w:rPr>
          <w:rFonts w:cs="Arial"/>
          <w:lang w:val="fr-FR"/>
        </w:rPr>
        <w:t>Les autorités n’ont pas trouvé d’autres solutions en 2014 que de supprimer le délai de 10 ans posé par la loi de 2005, d’assouplir le dispositif et d’exonérer des sanctions initialement prévues pour le manquement à leurs obligations les acteurs n’ayant pas mis en place des mesures d’accessibilité (ordonnance n° 2014-1090 du 26 septembre 2014 relative à la mise en accessibilité des établissements recevant du public, des transports publics, des bâtiments d’habitation et de la voirie pour les personnes handicapées, ratifiée par la loi n° 2015-988 du 5 août 2015).</w:t>
      </w:r>
    </w:p>
    <w:p w:rsidRPr="00A86354" w:rsidR="00FF47AF" w:rsidP="00FF47AF" w:rsidRDefault="00FF47AF" w14:paraId="28BC81E6" w14:textId="77777777">
      <w:pPr>
        <w:rPr>
          <w:rFonts w:ascii="Arial" w:hAnsi="Arial" w:cs="Arial"/>
          <w:lang w:val="fr-FR"/>
        </w:rPr>
      </w:pPr>
    </w:p>
    <w:p w:rsidRPr="00A86354" w:rsidR="00FF47AF" w:rsidP="00FF47AF" w:rsidRDefault="00FF47AF" w14:paraId="62D01045" w14:textId="77777777">
      <w:pPr>
        <w:pStyle w:val="ListParagraph"/>
        <w:rPr>
          <w:rFonts w:cs="Arial"/>
          <w:i/>
          <w:iCs/>
          <w:lang w:val="fr-FR"/>
        </w:rPr>
      </w:pPr>
      <w:bookmarkStart w:name="_Hlk115856101" w:id="19"/>
      <w:r w:rsidRPr="00A86354">
        <w:rPr>
          <w:rFonts w:cs="Arial"/>
          <w:i/>
          <w:iCs/>
          <w:lang w:val="fr-FR"/>
        </w:rPr>
        <w:t>Accessibilité des logements</w:t>
      </w:r>
      <w:bookmarkEnd w:id="19"/>
    </w:p>
    <w:p w:rsidRPr="00A86354" w:rsidR="00FF47AF" w:rsidP="00A86354" w:rsidRDefault="00FF47AF" w14:paraId="630D1E5A" w14:textId="77777777">
      <w:pPr>
        <w:pStyle w:val="ListParagraph"/>
        <w:rPr>
          <w:rFonts w:cs="Arial"/>
          <w:lang w:val="fr-FR"/>
        </w:rPr>
      </w:pPr>
    </w:p>
    <w:p w:rsidRPr="00A86354" w:rsidR="00FF47AF" w:rsidP="00CE016A" w:rsidRDefault="00FF47AF" w14:paraId="09524322" w14:textId="6AD13318">
      <w:pPr>
        <w:pStyle w:val="ListParagraph"/>
        <w:numPr>
          <w:ilvl w:val="0"/>
          <w:numId w:val="1"/>
        </w:numPr>
        <w:ind w:left="0" w:firstLine="0"/>
        <w:rPr>
          <w:rFonts w:cs="Arial"/>
          <w:lang w:val="fr-FR"/>
        </w:rPr>
      </w:pPr>
      <w:r w:rsidRPr="00A86354">
        <w:rPr>
          <w:rFonts w:cs="Arial"/>
          <w:lang w:val="fr-FR"/>
        </w:rPr>
        <w:t>Selon EDF et Inclusion Europe, malgré les rapports critiques du Défenseur des droits (« 2005-2015 : 10 ans d’actions pour la défense des droits des personnes handicapées ») et du Commissaire aux droits de l’homme (2015),</w:t>
      </w:r>
      <w:r w:rsidRPr="00A86354">
        <w:rPr>
          <w:lang w:val="fr-FR"/>
        </w:rPr>
        <w:t xml:space="preserve"> </w:t>
      </w:r>
      <w:r w:rsidRPr="00A86354">
        <w:rPr>
          <w:rFonts w:cs="Arial"/>
          <w:lang w:val="fr-FR"/>
        </w:rPr>
        <w:t>l’absence de politique coordonnée en matière d’accessibilité des logements persiste</w:t>
      </w:r>
      <w:r w:rsidRPr="00A86354">
        <w:rPr>
          <w:lang w:val="fr-FR"/>
        </w:rPr>
        <w:t xml:space="preserve"> </w:t>
      </w:r>
      <w:r w:rsidRPr="00A86354">
        <w:rPr>
          <w:rFonts w:cs="Arial"/>
          <w:lang w:val="fr-FR"/>
        </w:rPr>
        <w:t>en France. La loi ELAN revient sur l’exigence d’accessibilité à 100 % des logements neufs en imposant un taux de seulement 20 % d’accessibilité.</w:t>
      </w:r>
    </w:p>
    <w:p w:rsidRPr="00A86354" w:rsidR="00FF47AF" w:rsidP="00FF47AF" w:rsidRDefault="00FF47AF" w14:paraId="33E61A10" w14:textId="77777777">
      <w:pPr>
        <w:pStyle w:val="ListParagraph"/>
        <w:rPr>
          <w:rFonts w:cs="Arial"/>
          <w:lang w:val="fr-FR"/>
        </w:rPr>
      </w:pPr>
    </w:p>
    <w:p w:rsidRPr="00A86354" w:rsidR="00FF47AF" w:rsidP="00CE016A" w:rsidRDefault="00FF47AF" w14:paraId="1D829FD2" w14:textId="77777777">
      <w:pPr>
        <w:pStyle w:val="ListParagraph"/>
        <w:numPr>
          <w:ilvl w:val="0"/>
          <w:numId w:val="1"/>
        </w:numPr>
        <w:ind w:left="0" w:firstLine="0"/>
        <w:rPr>
          <w:rFonts w:cs="Arial"/>
          <w:lang w:val="fr-FR"/>
        </w:rPr>
      </w:pPr>
      <w:r w:rsidRPr="00A86354">
        <w:rPr>
          <w:rFonts w:cs="Arial"/>
          <w:lang w:val="fr-FR"/>
        </w:rPr>
        <w:t>Se référant à une fiche thématique de 2014 du Défenseur des droits, intitulée « Logement, handicap et perte d’autonomie », les organisations réclamantes signalent les problèmes suivants :</w:t>
      </w:r>
    </w:p>
    <w:p w:rsidRPr="00A86354" w:rsidR="00FF47AF" w:rsidP="00FF47AF" w:rsidRDefault="00FF47AF" w14:paraId="373A041F" w14:textId="77777777">
      <w:pPr>
        <w:pStyle w:val="ListParagraph"/>
        <w:ind w:left="360"/>
        <w:rPr>
          <w:rFonts w:cs="Arial"/>
          <w:lang w:val="fr-FR"/>
        </w:rPr>
      </w:pPr>
    </w:p>
    <w:p w:rsidRPr="00A86354" w:rsidR="00FF47AF" w:rsidP="00CE016A" w:rsidRDefault="00FF47AF" w14:paraId="47BCE204" w14:textId="77777777">
      <w:pPr>
        <w:pStyle w:val="ListParagraph"/>
        <w:numPr>
          <w:ilvl w:val="0"/>
          <w:numId w:val="2"/>
        </w:numPr>
        <w:rPr>
          <w:rFonts w:cs="Arial"/>
          <w:sz w:val="20"/>
          <w:szCs w:val="20"/>
          <w:lang w:val="fr-FR"/>
        </w:rPr>
      </w:pPr>
      <w:r w:rsidRPr="00A86354">
        <w:rPr>
          <w:rFonts w:cs="Arial"/>
          <w:sz w:val="20"/>
          <w:szCs w:val="20"/>
          <w:lang w:val="fr-FR"/>
        </w:rPr>
        <w:t>des problèmes d’accessibilité, liés notamment à une absence d’aménagement du logement ou des parties communes de l’immeuble, ou à la réalisation de travaux inadaptés au handicap de la personne ;</w:t>
      </w:r>
    </w:p>
    <w:p w:rsidRPr="00A86354" w:rsidR="00FF47AF" w:rsidP="00CE016A" w:rsidRDefault="00FF47AF" w14:paraId="34379B9B" w14:textId="77777777">
      <w:pPr>
        <w:pStyle w:val="ListParagraph"/>
        <w:numPr>
          <w:ilvl w:val="0"/>
          <w:numId w:val="2"/>
        </w:numPr>
        <w:rPr>
          <w:rFonts w:cs="Arial"/>
          <w:sz w:val="20"/>
          <w:szCs w:val="20"/>
          <w:lang w:val="fr-FR"/>
        </w:rPr>
      </w:pPr>
      <w:r w:rsidRPr="00A86354">
        <w:rPr>
          <w:rFonts w:cs="Arial"/>
          <w:sz w:val="20"/>
          <w:szCs w:val="20"/>
          <w:lang w:val="fr-FR"/>
        </w:rPr>
        <w:t>un défaut d’adéquation de l’offre adaptée de logement social disponible avec les demandes de logement de personnes handicapées ;</w:t>
      </w:r>
    </w:p>
    <w:p w:rsidRPr="00A86354" w:rsidR="00FF47AF" w:rsidP="00CE016A" w:rsidRDefault="00FF47AF" w14:paraId="54594F37" w14:textId="77777777">
      <w:pPr>
        <w:pStyle w:val="ListParagraph"/>
        <w:numPr>
          <w:ilvl w:val="0"/>
          <w:numId w:val="2"/>
        </w:numPr>
        <w:rPr>
          <w:rFonts w:cs="Arial"/>
          <w:sz w:val="20"/>
          <w:szCs w:val="20"/>
          <w:lang w:val="fr-FR"/>
        </w:rPr>
      </w:pPr>
      <w:r w:rsidRPr="00A86354">
        <w:rPr>
          <w:rFonts w:cs="Arial"/>
          <w:sz w:val="20"/>
          <w:szCs w:val="20"/>
          <w:lang w:val="fr-FR"/>
        </w:rPr>
        <w:t>une absence de prise en compte de la priorité reconnue aux personnes handicapées dans le cadre d’une demande de logement social, conduisant à des délais d’attente particulièrement longs ;</w:t>
      </w:r>
    </w:p>
    <w:p w:rsidRPr="00A86354" w:rsidR="00FF47AF" w:rsidP="00CE016A" w:rsidRDefault="00FF47AF" w14:paraId="0140DCE2" w14:textId="77777777">
      <w:pPr>
        <w:pStyle w:val="ListParagraph"/>
        <w:numPr>
          <w:ilvl w:val="0"/>
          <w:numId w:val="2"/>
        </w:numPr>
        <w:rPr>
          <w:rFonts w:cs="Arial"/>
          <w:sz w:val="20"/>
          <w:szCs w:val="20"/>
          <w:lang w:val="fr-FR"/>
        </w:rPr>
      </w:pPr>
      <w:r w:rsidRPr="00A86354">
        <w:rPr>
          <w:rFonts w:cs="Arial"/>
          <w:sz w:val="20"/>
          <w:szCs w:val="20"/>
          <w:lang w:val="fr-FR"/>
        </w:rPr>
        <w:t xml:space="preserve">le faible développement des services pour l’accompagnement au logement et la prise en charge insuffisante du coût des </w:t>
      </w:r>
      <w:bookmarkStart w:name="_Hlk115856179" w:id="20"/>
      <w:r w:rsidRPr="00A86354">
        <w:rPr>
          <w:rFonts w:cs="Arial"/>
          <w:sz w:val="20"/>
          <w:szCs w:val="20"/>
          <w:lang w:val="fr-FR"/>
        </w:rPr>
        <w:t>aides à domicile et de l’adaptation du logement</w:t>
      </w:r>
      <w:bookmarkEnd w:id="20"/>
      <w:r w:rsidRPr="00A86354">
        <w:rPr>
          <w:rFonts w:cs="Arial"/>
          <w:sz w:val="20"/>
          <w:szCs w:val="20"/>
          <w:lang w:val="fr-FR"/>
        </w:rPr>
        <w:t xml:space="preserve">. </w:t>
      </w:r>
    </w:p>
    <w:p w:rsidRPr="00A86354" w:rsidR="00FF47AF" w:rsidP="00FF47AF" w:rsidRDefault="00FF47AF" w14:paraId="30666CCB" w14:textId="77777777">
      <w:pPr>
        <w:rPr>
          <w:rFonts w:ascii="Arial" w:hAnsi="Arial" w:cs="Arial"/>
          <w:lang w:val="fr-FR"/>
        </w:rPr>
      </w:pPr>
    </w:p>
    <w:p w:rsidRPr="00A86354" w:rsidR="00FF47AF" w:rsidP="00CE016A" w:rsidRDefault="00FF47AF" w14:paraId="64688568" w14:textId="77777777">
      <w:pPr>
        <w:pStyle w:val="ListParagraph"/>
        <w:numPr>
          <w:ilvl w:val="0"/>
          <w:numId w:val="1"/>
        </w:numPr>
        <w:ind w:left="0" w:firstLine="0"/>
        <w:rPr>
          <w:rFonts w:cs="Arial"/>
          <w:lang w:val="fr-FR"/>
        </w:rPr>
      </w:pPr>
      <w:r w:rsidRPr="00A86354">
        <w:rPr>
          <w:rFonts w:cs="Arial"/>
          <w:lang w:val="fr-FR"/>
        </w:rPr>
        <w:t>EDF et Inclusion Europe affirment que ces constats prennent place dans un contexte de pénurie de l’offre de logement pour satisfaire la demande des personnes mal logées en général. Ces difficultés sont exacerbées pour les personnes handicapées : ainsi les délais d’attribution d’un logement sont encore plus longs pour les personnes handicapées que pour les autres demandeurs. Les organisations réclamantes indiquent qu’en 2016, l’ancienneté moyenne d’une demande de logement social pour cause de handicap était de 27 mois, contre 19 en moyenne toutes demandes confondues. Elles concluent que l’accès des personnes handicapées à un logement suffisant et à un coût abordable, y compris au logement social, est loin d’être assuré en France.</w:t>
      </w:r>
    </w:p>
    <w:p w:rsidRPr="00A86354" w:rsidR="00FF47AF" w:rsidP="00FF47AF" w:rsidRDefault="00FF47AF" w14:paraId="18D2CE13" w14:textId="77777777">
      <w:pPr>
        <w:rPr>
          <w:rFonts w:ascii="Arial" w:hAnsi="Arial" w:cs="Arial"/>
          <w:lang w:val="fr-FR"/>
        </w:rPr>
      </w:pPr>
    </w:p>
    <w:p w:rsidRPr="00A86354" w:rsidR="00FF47AF" w:rsidP="007E01BA" w:rsidRDefault="00FF47AF" w14:paraId="6A385E41" w14:textId="77777777">
      <w:pPr>
        <w:pStyle w:val="ListParagraph"/>
        <w:keepNext/>
        <w:keepLines/>
        <w:rPr>
          <w:rFonts w:cs="Arial"/>
          <w:i/>
          <w:iCs/>
          <w:lang w:val="fr-FR"/>
        </w:rPr>
      </w:pPr>
      <w:r w:rsidRPr="00A86354">
        <w:rPr>
          <w:rFonts w:cs="Arial"/>
          <w:i/>
          <w:iCs/>
          <w:lang w:val="fr-FR"/>
        </w:rPr>
        <w:t>Accessibilité des transports publics</w:t>
      </w:r>
    </w:p>
    <w:p w:rsidRPr="00A86354" w:rsidR="00FF47AF" w:rsidP="00A86354" w:rsidRDefault="00FF47AF" w14:paraId="0F84DC07" w14:textId="77777777">
      <w:pPr>
        <w:pStyle w:val="ListParagraph"/>
        <w:keepNext/>
        <w:keepLines/>
        <w:rPr>
          <w:rFonts w:cs="Arial"/>
          <w:lang w:val="fr-FR"/>
        </w:rPr>
      </w:pPr>
    </w:p>
    <w:p w:rsidRPr="00A86354" w:rsidR="00FF47AF" w:rsidP="00CE016A" w:rsidRDefault="00FF47AF" w14:paraId="76F9A80B" w14:textId="77777777">
      <w:pPr>
        <w:pStyle w:val="ListParagraph"/>
        <w:keepNext/>
        <w:keepLines/>
        <w:numPr>
          <w:ilvl w:val="0"/>
          <w:numId w:val="1"/>
        </w:numPr>
        <w:ind w:left="0" w:firstLine="0"/>
        <w:rPr>
          <w:rFonts w:cs="Arial"/>
          <w:lang w:val="fr-FR"/>
        </w:rPr>
      </w:pPr>
      <w:r w:rsidRPr="00A86354">
        <w:rPr>
          <w:rFonts w:cs="Arial"/>
          <w:lang w:val="fr-FR"/>
        </w:rPr>
        <w:t xml:space="preserve">EDF et Inclusion Europe affirment que l’ordonnance du 26 septembre 2014 a assoupli les obligations imposées par la loi de 2005 dans le domaine des transports publics en limitant l’obligation de mise en accessibilité aux </w:t>
      </w:r>
      <w:r w:rsidRPr="00A86354">
        <w:rPr>
          <w:rFonts w:cs="Arial"/>
          <w:i/>
          <w:iCs/>
          <w:lang w:val="fr-FR"/>
        </w:rPr>
        <w:t>« points d’arrêt prioritaires compte tenu de leur fréquentation, des modalités de leur exploitation, de l’organisation des réseaux de transport et des nécessités de desserte suffisante du territoire »</w:t>
      </w:r>
      <w:r w:rsidRPr="00A86354">
        <w:rPr>
          <w:rFonts w:cs="Arial"/>
          <w:lang w:val="fr-FR"/>
        </w:rPr>
        <w:t>.</w:t>
      </w:r>
      <w:r w:rsidRPr="00A86354">
        <w:rPr>
          <w:lang w:val="fr-FR"/>
        </w:rPr>
        <w:t xml:space="preserve"> </w:t>
      </w:r>
      <w:r w:rsidRPr="00A86354">
        <w:rPr>
          <w:rFonts w:cs="Arial"/>
          <w:lang w:val="fr-FR"/>
        </w:rPr>
        <w:t>En outre, si cette ordonnance énonce l’obligation d’élaborer des agendas d’accessibilité programmée dans un certain délai, elle ne prévoit aucune sanction pour les exploitants/autorités organisatrices des transports publics en cas de non-mise en œuvre de schémas directeurs d’accessibilité-agendas d’accessibilité programmée.</w:t>
      </w:r>
    </w:p>
    <w:p w:rsidRPr="00A86354" w:rsidR="00FF47AF" w:rsidP="00FF47AF" w:rsidRDefault="00FF47AF" w14:paraId="62B0B457" w14:textId="77777777">
      <w:pPr>
        <w:pStyle w:val="ListParagraph"/>
        <w:rPr>
          <w:rFonts w:cs="Arial"/>
          <w:lang w:val="fr-FR"/>
        </w:rPr>
      </w:pPr>
    </w:p>
    <w:p w:rsidRPr="00A86354" w:rsidR="00FF47AF" w:rsidP="00CE016A" w:rsidRDefault="00FF47AF" w14:paraId="300361AC" w14:textId="77777777">
      <w:pPr>
        <w:pStyle w:val="ListParagraph"/>
        <w:numPr>
          <w:ilvl w:val="0"/>
          <w:numId w:val="1"/>
        </w:numPr>
        <w:ind w:left="0" w:firstLine="0"/>
        <w:rPr>
          <w:rFonts w:cs="Arial"/>
          <w:lang w:val="fr-FR"/>
        </w:rPr>
      </w:pPr>
      <w:r w:rsidRPr="00A86354">
        <w:rPr>
          <w:rFonts w:cs="Arial"/>
          <w:lang w:val="fr-FR"/>
        </w:rPr>
        <w:t xml:space="preserve">Au vu de ce qui précède, EDF et Inclusion Europe font valoir que l’absence en France d’un système assurant aux personnes handicapées un accès effectif à la gamme de services sociaux d’accompagnement, y compris aux services sociaux et à </w:t>
      </w:r>
      <w:r w:rsidRPr="00A86354">
        <w:rPr>
          <w:rFonts w:cs="Arial"/>
          <w:lang w:val="fr-FR"/>
        </w:rPr>
        <w:lastRenderedPageBreak/>
        <w:t>une aide financière, et l’accessibilité insuffisante des services et équipements destinés à la population générale ainsi que des transports publics et du logement constituent des violations du droit des personnes handicapées à l’autonomie, à l’intégration sociale et à la participation à la vie de la communauté, garanti par l’article 15§3 de la Charte.</w:t>
      </w:r>
    </w:p>
    <w:p w:rsidRPr="00A86354" w:rsidR="00896AC2" w:rsidP="00896AC2" w:rsidRDefault="00896AC2" w14:paraId="7E950104" w14:textId="77777777">
      <w:pPr>
        <w:pStyle w:val="ListParagraph"/>
        <w:rPr>
          <w:rFonts w:cs="Arial"/>
          <w:lang w:val="fr-FR"/>
        </w:rPr>
      </w:pPr>
    </w:p>
    <w:p w:rsidRPr="00A86354" w:rsidR="00FF47AF" w:rsidP="00FF47AF" w:rsidRDefault="00FF47AF" w14:paraId="4079951D" w14:textId="77777777">
      <w:pPr>
        <w:keepNext/>
        <w:keepLines/>
        <w:tabs>
          <w:tab w:val="left" w:pos="709"/>
        </w:tabs>
        <w:outlineLvl w:val="3"/>
        <w:rPr>
          <w:rFonts w:ascii="Arial" w:hAnsi="Arial" w:cs="Arial" w:eastAsiaTheme="majorEastAsia"/>
          <w:b/>
          <w:iCs/>
          <w:lang w:val="fr-FR"/>
        </w:rPr>
      </w:pPr>
      <w:r w:rsidRPr="00A86354">
        <w:rPr>
          <w:rFonts w:ascii="Arial" w:hAnsi="Arial" w:cs="Arial" w:eastAsiaTheme="majorEastAsia"/>
          <w:b/>
          <w:iCs/>
          <w:lang w:val="fr-FR"/>
        </w:rPr>
        <w:t>2.</w:t>
      </w:r>
      <w:r w:rsidRPr="00A86354">
        <w:rPr>
          <w:rFonts w:ascii="Arial" w:hAnsi="Arial" w:cs="Arial" w:eastAsiaTheme="majorEastAsia"/>
          <w:b/>
          <w:iCs/>
          <w:lang w:val="fr-FR"/>
        </w:rPr>
        <w:tab/>
        <w:t>Le Gouvernement défendeur</w:t>
      </w:r>
    </w:p>
    <w:p w:rsidRPr="008F0D0E" w:rsidR="008F0D0E" w:rsidP="008F0D0E" w:rsidRDefault="008F0D0E" w14:paraId="1BDA406E" w14:textId="77777777">
      <w:pPr>
        <w:ind w:left="360" w:hanging="360"/>
        <w:rPr>
          <w:rFonts w:ascii="Arial" w:hAnsi="Arial" w:cs="Arial"/>
          <w:lang w:val="fr-FR"/>
        </w:rPr>
      </w:pPr>
    </w:p>
    <w:p w:rsidRPr="00A86354" w:rsidR="00FF47AF" w:rsidP="00FF47AF" w:rsidRDefault="00FF47AF" w14:paraId="0BE6F3EC" w14:textId="77777777">
      <w:pPr>
        <w:pStyle w:val="ListParagraph"/>
        <w:rPr>
          <w:rFonts w:cs="Arial"/>
          <w:i/>
          <w:iCs/>
          <w:lang w:val="fr-FR"/>
        </w:rPr>
      </w:pPr>
      <w:r w:rsidRPr="00A86354">
        <w:rPr>
          <w:rFonts w:cs="Arial"/>
          <w:i/>
          <w:iCs/>
          <w:lang w:val="fr-FR"/>
        </w:rPr>
        <w:t>Politique coordonnée en vue de l’intégration sociale et de la participation à la vie de la communauté</w:t>
      </w:r>
    </w:p>
    <w:p w:rsidRPr="00A86354" w:rsidR="008F0D0E" w:rsidP="008F0D0E" w:rsidRDefault="008F0D0E" w14:paraId="0E60D07F" w14:textId="77777777">
      <w:pPr>
        <w:ind w:left="360" w:hanging="360"/>
        <w:rPr>
          <w:rFonts w:ascii="Arial" w:hAnsi="Arial" w:cs="Arial"/>
          <w:lang w:val="fr-FR"/>
        </w:rPr>
      </w:pPr>
    </w:p>
    <w:p w:rsidRPr="00A86354" w:rsidR="00FF47AF" w:rsidP="00CE016A" w:rsidRDefault="00FF47AF" w14:paraId="42CA5870" w14:textId="77777777">
      <w:pPr>
        <w:pStyle w:val="ListParagraph"/>
        <w:numPr>
          <w:ilvl w:val="0"/>
          <w:numId w:val="1"/>
        </w:numPr>
        <w:ind w:left="0" w:firstLine="0"/>
        <w:rPr>
          <w:rFonts w:cs="Arial"/>
          <w:lang w:val="fr-FR"/>
        </w:rPr>
      </w:pPr>
      <w:r w:rsidRPr="00A86354">
        <w:rPr>
          <w:rFonts w:cs="Arial"/>
          <w:lang w:val="fr-FR"/>
        </w:rPr>
        <w:t>Le Gouvernement souligne que, dans la continuité de l’engagement pris lors de l’élection présidentielle de 2017 de faire du handicap une priorité du quinquennat, le Secrétariat d’État chargé des personnes handicapées a été rattaché au Premier ministre.</w:t>
      </w:r>
    </w:p>
    <w:p w:rsidRPr="00A86354" w:rsidR="00FF47AF" w:rsidP="00FF47AF" w:rsidRDefault="00FF47AF" w14:paraId="67AFA2D7" w14:textId="77777777">
      <w:pPr>
        <w:pStyle w:val="ListParagraph"/>
        <w:rPr>
          <w:rFonts w:cs="Arial"/>
          <w:lang w:val="fr-FR"/>
        </w:rPr>
      </w:pPr>
    </w:p>
    <w:p w:rsidRPr="00A86354" w:rsidR="00FF47AF" w:rsidP="00CE016A" w:rsidRDefault="00FF47AF" w14:paraId="5807105C" w14:textId="77777777">
      <w:pPr>
        <w:pStyle w:val="ListParagraph"/>
        <w:numPr>
          <w:ilvl w:val="0"/>
          <w:numId w:val="1"/>
        </w:numPr>
        <w:ind w:left="0" w:firstLine="0"/>
        <w:rPr>
          <w:rFonts w:cs="Arial"/>
          <w:lang w:val="fr-FR"/>
        </w:rPr>
      </w:pPr>
      <w:r w:rsidRPr="00A86354">
        <w:rPr>
          <w:rFonts w:cs="Arial"/>
          <w:lang w:val="fr-FR"/>
        </w:rPr>
        <w:t>Le Gouvernement souligne également qu’un Comité interministériel du handicap (CIH) a été installé par décret en 2009. Cet organisme est chargé de définir, de coordonner – aux niveaux national et territorial – et d’évaluer les politiques conduites par l’État en direction des personnes handicapées, ainsi que de mobiliser la société civile, d’associer les personnes handicapées et de promouvoir la recherche sur le handicap. Il rassemble chaque année autour d’un même objectif l’ensemble des ministres concernés par la politique du handicap. Le CIH s’est réuni pour la première fois le 25 septembre 2013. Deux Conférences nationales du handicap se sont tenues à l’Élysée, les 11 décembre 2014 et 19 mai 2016. Entre 2016 et 2018, le CIH s’est réuni à trois reprises : le 2 décembre 2016, le 20 septembre 2017 et le 25 octobre 2018.</w:t>
      </w:r>
    </w:p>
    <w:p w:rsidRPr="00A86354" w:rsidR="00FF47AF" w:rsidP="00FF47AF" w:rsidRDefault="00FF47AF" w14:paraId="220B75BC" w14:textId="77777777">
      <w:pPr>
        <w:pStyle w:val="ListParagraph"/>
        <w:rPr>
          <w:rFonts w:cs="Arial"/>
          <w:lang w:val="fr-FR"/>
        </w:rPr>
      </w:pPr>
    </w:p>
    <w:p w:rsidRPr="00A86354" w:rsidR="00FF47AF" w:rsidP="00CE016A" w:rsidRDefault="00FF47AF" w14:paraId="2CB07EBF" w14:textId="1A2CFBBF">
      <w:pPr>
        <w:pStyle w:val="ListParagraph"/>
        <w:numPr>
          <w:ilvl w:val="0"/>
          <w:numId w:val="1"/>
        </w:numPr>
        <w:ind w:left="0" w:firstLine="0"/>
        <w:rPr>
          <w:rFonts w:cs="Arial"/>
          <w:lang w:val="fr-FR"/>
        </w:rPr>
      </w:pPr>
      <w:r w:rsidRPr="00A86354">
        <w:rPr>
          <w:rFonts w:cs="Arial"/>
          <w:lang w:val="fr-FR"/>
        </w:rPr>
        <w:t>Lors de sa réunion du 20 septembre 2017, le CIH a adopté une « feuille de route</w:t>
      </w:r>
      <w:r w:rsidRPr="00A86354">
        <w:rPr>
          <w:lang w:val="fr-FR"/>
        </w:rPr>
        <w:t xml:space="preserve"> </w:t>
      </w:r>
      <w:r w:rsidRPr="00A86354">
        <w:rPr>
          <w:rFonts w:cs="Arial"/>
          <w:lang w:val="fr-FR"/>
        </w:rPr>
        <w:t xml:space="preserve">relative au handicap » qui énonce les grands objectifs à </w:t>
      </w:r>
      <w:r w:rsidRPr="00A86354" w:rsidR="008C2A64">
        <w:rPr>
          <w:rFonts w:cs="Arial"/>
          <w:lang w:val="fr-FR"/>
        </w:rPr>
        <w:t>cinq</w:t>
      </w:r>
      <w:r w:rsidRPr="00A86354">
        <w:rPr>
          <w:rFonts w:cs="Arial"/>
          <w:lang w:val="fr-FR"/>
        </w:rPr>
        <w:t> ans. Ces orientations ont été amplifiées par le CIH du 25 octobre 2018. À partir de cette feuille de route, le Gouvernement a engagé un important mouvement de transformation de l’offre médico-sociale, avec un accent mis sur l’individualisation et l’approche inclusive. La stratégie quinquennale d’évolution de l’offre est dotée d’une enveloppe de 180 millions EUR, dont la moitié au moins doit être consacrée au développement d’une offre de services de proximité et inclusive.</w:t>
      </w:r>
    </w:p>
    <w:p w:rsidRPr="00A86354" w:rsidR="008F0D0E" w:rsidP="008F0D0E" w:rsidRDefault="008F0D0E" w14:paraId="52272D13" w14:textId="77777777">
      <w:pPr>
        <w:ind w:left="360" w:hanging="360"/>
        <w:rPr>
          <w:rFonts w:ascii="Arial" w:hAnsi="Arial" w:cs="Arial"/>
          <w:lang w:val="fr-FR"/>
        </w:rPr>
      </w:pPr>
    </w:p>
    <w:p w:rsidRPr="00A86354" w:rsidR="00FF47AF" w:rsidP="00CE016A" w:rsidRDefault="00FF47AF" w14:paraId="03822A9B" w14:textId="77777777">
      <w:pPr>
        <w:pStyle w:val="ListParagraph"/>
        <w:numPr>
          <w:ilvl w:val="0"/>
          <w:numId w:val="1"/>
        </w:numPr>
        <w:ind w:left="0" w:firstLine="0"/>
        <w:rPr>
          <w:rFonts w:cs="Arial"/>
          <w:lang w:val="fr-FR"/>
        </w:rPr>
      </w:pPr>
      <w:r w:rsidRPr="00A86354">
        <w:rPr>
          <w:rFonts w:cs="Arial"/>
          <w:lang w:val="fr-FR"/>
        </w:rPr>
        <w:t>Le Gouvernement se réfère à un certain nombre de nouveaux dispositifs inscrits dans la loi permettent d’élargir l’offre répondant à cette logique :</w:t>
      </w:r>
    </w:p>
    <w:p w:rsidRPr="00A86354" w:rsidR="008F0D0E" w:rsidP="008F0D0E" w:rsidRDefault="008F0D0E" w14:paraId="24FA2A71" w14:textId="77777777">
      <w:pPr>
        <w:ind w:left="360" w:hanging="360"/>
        <w:rPr>
          <w:rFonts w:ascii="Arial" w:hAnsi="Arial" w:cs="Arial"/>
          <w:lang w:val="fr-FR"/>
        </w:rPr>
      </w:pPr>
    </w:p>
    <w:p w:rsidRPr="00A86354" w:rsidR="00FF47AF" w:rsidP="00CE016A" w:rsidRDefault="00FF47AF" w14:paraId="7A537DF1" w14:textId="77777777">
      <w:pPr>
        <w:pStyle w:val="ListParagraph"/>
        <w:numPr>
          <w:ilvl w:val="0"/>
          <w:numId w:val="2"/>
        </w:numPr>
        <w:rPr>
          <w:rFonts w:cs="Arial"/>
          <w:sz w:val="20"/>
          <w:szCs w:val="20"/>
          <w:lang w:val="fr-FR"/>
        </w:rPr>
      </w:pPr>
      <w:r w:rsidRPr="00A86354">
        <w:rPr>
          <w:sz w:val="20"/>
          <w:szCs w:val="20"/>
          <w:lang w:val="fr-FR"/>
        </w:rPr>
        <w:t>les pôles de compétences et de prestations externalisées (PCPE), définis par l’instruction n° DGCS/SD3B/2016/119 du 12 avril 2016 de la Secrétaire d’État chargée des personnes handicapées, visent à apporter une réponse ajustée aux besoins les plus complexes, en proposant aux personnes des plans d’interventions individualisées fondés sur une approche inclusive (maintien à domicile dans une visée inclusive, accompagnement à domicile dans l’attente d’une réponse dans un établissement, accompagnement d’une scolarité effective, accompagnement, soutien et guidance des familles, etc.) ;</w:t>
      </w:r>
    </w:p>
    <w:p w:rsidRPr="00A86354" w:rsidR="00FF47AF" w:rsidP="00FF47AF" w:rsidRDefault="00FF47AF" w14:paraId="70137EE2" w14:textId="77777777">
      <w:pPr>
        <w:pStyle w:val="ListParagraph"/>
        <w:ind w:left="720"/>
        <w:rPr>
          <w:rFonts w:cs="Arial"/>
          <w:sz w:val="20"/>
          <w:szCs w:val="20"/>
          <w:lang w:val="fr-FR"/>
        </w:rPr>
      </w:pPr>
    </w:p>
    <w:p w:rsidRPr="00A86354" w:rsidR="00FF47AF" w:rsidP="00CE016A" w:rsidRDefault="00FF47AF" w14:paraId="36F79984" w14:textId="26DF6036">
      <w:pPr>
        <w:pStyle w:val="ListParagraph"/>
        <w:numPr>
          <w:ilvl w:val="0"/>
          <w:numId w:val="2"/>
        </w:numPr>
        <w:rPr>
          <w:rFonts w:cs="Arial"/>
          <w:sz w:val="20"/>
          <w:szCs w:val="20"/>
          <w:lang w:val="fr-FR"/>
        </w:rPr>
      </w:pPr>
      <w:r w:rsidRPr="00A86354">
        <w:rPr>
          <w:sz w:val="20"/>
          <w:szCs w:val="20"/>
          <w:lang w:val="fr-FR"/>
        </w:rPr>
        <w:t>l’emploi accompagné a été introduit par l’article 52 de la loi n° 2016-1088;</w:t>
      </w:r>
    </w:p>
    <w:p w:rsidRPr="00A86354" w:rsidR="00FF47AF" w:rsidP="00FF47AF" w:rsidRDefault="00FF47AF" w14:paraId="53C928B4" w14:textId="77777777">
      <w:pPr>
        <w:pStyle w:val="ListParagraph"/>
        <w:ind w:left="360"/>
        <w:rPr>
          <w:sz w:val="20"/>
          <w:szCs w:val="20"/>
          <w:lang w:val="fr-FR"/>
        </w:rPr>
      </w:pPr>
    </w:p>
    <w:p w:rsidRPr="00A86354" w:rsidR="00FF47AF" w:rsidP="00CE016A" w:rsidRDefault="00FF47AF" w14:paraId="672B73BB" w14:textId="77777777">
      <w:pPr>
        <w:pStyle w:val="ListParagraph"/>
        <w:numPr>
          <w:ilvl w:val="0"/>
          <w:numId w:val="2"/>
        </w:numPr>
        <w:rPr>
          <w:rFonts w:cs="Arial"/>
          <w:sz w:val="20"/>
          <w:szCs w:val="20"/>
          <w:lang w:val="fr-FR"/>
        </w:rPr>
      </w:pPr>
      <w:r w:rsidRPr="00A86354">
        <w:rPr>
          <w:sz w:val="20"/>
          <w:szCs w:val="20"/>
          <w:lang w:val="fr-FR"/>
        </w:rPr>
        <w:t>l’habitat inclusif a été introduit par l’article 129 de la loi ELAN (23 novembre 2018) ;</w:t>
      </w:r>
    </w:p>
    <w:p w:rsidRPr="00A86354" w:rsidR="00FF47AF" w:rsidP="00FF47AF" w:rsidRDefault="00FF47AF" w14:paraId="0903ADD2" w14:textId="77777777">
      <w:pPr>
        <w:pStyle w:val="ListParagraph"/>
        <w:ind w:left="360"/>
        <w:rPr>
          <w:sz w:val="20"/>
          <w:szCs w:val="20"/>
          <w:lang w:val="fr-FR"/>
        </w:rPr>
      </w:pPr>
    </w:p>
    <w:p w:rsidRPr="00A86354" w:rsidR="00FF47AF" w:rsidP="00CE016A" w:rsidRDefault="00FF47AF" w14:paraId="6D2FFF71" w14:textId="77777777">
      <w:pPr>
        <w:pStyle w:val="ListParagraph"/>
        <w:numPr>
          <w:ilvl w:val="0"/>
          <w:numId w:val="2"/>
        </w:numPr>
        <w:rPr>
          <w:rFonts w:cs="Arial"/>
          <w:sz w:val="20"/>
          <w:szCs w:val="20"/>
          <w:lang w:val="fr-FR"/>
        </w:rPr>
      </w:pPr>
      <w:r w:rsidRPr="00A86354">
        <w:rPr>
          <w:sz w:val="20"/>
          <w:szCs w:val="20"/>
          <w:lang w:val="fr-FR"/>
        </w:rPr>
        <w:lastRenderedPageBreak/>
        <w:t>les dispositifs intégrés des Instituts thérapeutiques, éducatifs et pédagogiques, favorisant des changements rapides des modalités d’accompagnement médico-social, sont développés afin de permettre un accompagnement en milieu ordinaire à chaque fois que c’est possible.</w:t>
      </w:r>
    </w:p>
    <w:p w:rsidRPr="00A86354" w:rsidR="008F0D0E" w:rsidP="008F0D0E" w:rsidRDefault="008F0D0E" w14:paraId="1990BC3B" w14:textId="77777777">
      <w:pPr>
        <w:ind w:left="360" w:hanging="360"/>
        <w:rPr>
          <w:rFonts w:ascii="Arial" w:hAnsi="Arial" w:cs="Arial"/>
          <w:lang w:val="fr-FR"/>
        </w:rPr>
      </w:pPr>
    </w:p>
    <w:p w:rsidRPr="00A86354" w:rsidR="008C2A64" w:rsidP="00CE016A" w:rsidRDefault="008C2A64" w14:paraId="1A0D5D59" w14:textId="64706B3B">
      <w:pPr>
        <w:numPr>
          <w:ilvl w:val="0"/>
          <w:numId w:val="1"/>
        </w:numPr>
        <w:ind w:left="0" w:firstLine="0"/>
        <w:rPr>
          <w:rFonts w:ascii="Arial" w:hAnsi="Arial" w:cs="Arial"/>
          <w:lang w:val="fr-FR"/>
        </w:rPr>
      </w:pPr>
      <w:r w:rsidRPr="00A86354">
        <w:rPr>
          <w:rFonts w:ascii="Arial" w:hAnsi="Arial" w:cs="Arial"/>
          <w:lang w:val="fr-FR"/>
        </w:rPr>
        <w:t xml:space="preserve">Par ailleurs, le Gouvernement évoque un certain nombre de réformes qui visent à renforcer les services pour une société inclusive dans les ESMS, notamment des mesures afin de soutenir le travail des acteurs de terrain, tels que les agences régionales de santé, les conseils départementaux et les fédérations de gestionnaires d'ESMS. Le Gouvernement indique également qu'à la demande de la secrétaire d'État chargée des personnes handicapées en 2016, les agences régionales de santé ont inscrit dans leur "projet régional de santé" (PRS) les mesures suivantes : </w:t>
      </w:r>
    </w:p>
    <w:p w:rsidRPr="00A86354" w:rsidR="008C2A64" w:rsidP="008C2A64" w:rsidRDefault="008C2A64" w14:paraId="0DC2D642" w14:textId="77777777">
      <w:pPr>
        <w:rPr>
          <w:rFonts w:ascii="Arial" w:hAnsi="Arial" w:cs="Arial"/>
          <w:lang w:val="fr-FR"/>
        </w:rPr>
      </w:pPr>
    </w:p>
    <w:p w:rsidRPr="00A86354" w:rsidR="008C2A64" w:rsidP="008C2A64" w:rsidRDefault="008C2A64" w14:paraId="06A25AED" w14:textId="655F9A75">
      <w:pPr>
        <w:rPr>
          <w:rFonts w:ascii="Arial" w:hAnsi="Arial" w:cs="Arial"/>
          <w:lang w:val="fr-FR"/>
        </w:rPr>
      </w:pPr>
      <w:r w:rsidRPr="00A86354">
        <w:rPr>
          <w:rFonts w:ascii="Arial" w:hAnsi="Arial" w:cs="Arial"/>
          <w:lang w:val="fr-FR"/>
        </w:rPr>
        <w:t xml:space="preserve">- </w:t>
      </w:r>
      <w:r w:rsidRPr="00A86354" w:rsidR="00896AC2">
        <w:rPr>
          <w:rFonts w:ascii="Arial" w:hAnsi="Arial" w:cs="Arial"/>
          <w:lang w:val="fr-FR"/>
        </w:rPr>
        <w:t>r</w:t>
      </w:r>
      <w:r w:rsidRPr="00A86354">
        <w:rPr>
          <w:rFonts w:ascii="Arial" w:hAnsi="Arial" w:cs="Arial"/>
          <w:lang w:val="fr-FR"/>
        </w:rPr>
        <w:t xml:space="preserve">éduction annuelle de 20% du nombre d'adultes maintenus dans des ESMS pour enfants en vertu de l'amendement </w:t>
      </w:r>
      <w:r w:rsidRPr="00A86354" w:rsidR="00896AC2">
        <w:rPr>
          <w:rFonts w:ascii="Arial" w:hAnsi="Arial" w:cs="Arial"/>
          <w:lang w:val="fr-FR"/>
        </w:rPr>
        <w:t>« </w:t>
      </w:r>
      <w:r w:rsidRPr="00A86354">
        <w:rPr>
          <w:rFonts w:ascii="Arial" w:hAnsi="Arial" w:cs="Arial"/>
          <w:lang w:val="fr-FR"/>
        </w:rPr>
        <w:t>Creton</w:t>
      </w:r>
      <w:r w:rsidRPr="00A86354" w:rsidR="00896AC2">
        <w:rPr>
          <w:rFonts w:ascii="Arial" w:hAnsi="Arial" w:cs="Arial"/>
          <w:lang w:val="fr-FR"/>
        </w:rPr>
        <w:t> »</w:t>
      </w:r>
      <w:r w:rsidRPr="00A86354">
        <w:rPr>
          <w:rFonts w:ascii="Arial" w:hAnsi="Arial" w:cs="Arial"/>
          <w:lang w:val="fr-FR"/>
        </w:rPr>
        <w:t xml:space="preserve"> ; </w:t>
      </w:r>
    </w:p>
    <w:p w:rsidRPr="00A86354" w:rsidR="008C2A64" w:rsidP="008C2A64" w:rsidRDefault="008C2A64" w14:paraId="1D86EB60" w14:textId="77777777">
      <w:pPr>
        <w:rPr>
          <w:rFonts w:ascii="Arial" w:hAnsi="Arial" w:cs="Arial"/>
          <w:lang w:val="fr-FR"/>
        </w:rPr>
      </w:pPr>
      <w:r w:rsidRPr="00A86354">
        <w:rPr>
          <w:rFonts w:ascii="Arial" w:hAnsi="Arial" w:cs="Arial"/>
          <w:lang w:val="fr-FR"/>
        </w:rPr>
        <w:t xml:space="preserve">- une augmentation du taux de scolarisation ordinaire des enfants soutenus dans les institutions spécialisées à 50% d'ici 2020, et à 80% d'ici la fin du PRS ; </w:t>
      </w:r>
    </w:p>
    <w:p w:rsidRPr="00A86354" w:rsidR="00FF47AF" w:rsidP="008C2A64" w:rsidRDefault="008C2A64" w14:paraId="50C1A09A" w14:textId="77C53ADF">
      <w:pPr>
        <w:rPr>
          <w:rFonts w:ascii="Arial" w:hAnsi="Arial" w:cs="Arial"/>
          <w:lang w:val="fr-FR"/>
        </w:rPr>
      </w:pPr>
      <w:r w:rsidRPr="00A86354">
        <w:rPr>
          <w:rFonts w:ascii="Arial" w:hAnsi="Arial" w:cs="Arial"/>
          <w:lang w:val="fr-FR"/>
        </w:rPr>
        <w:t>- l'augmentation à 50% de la proportion de services offrant un soutien en milieu ordinaire.</w:t>
      </w:r>
    </w:p>
    <w:p w:rsidRPr="00A86354" w:rsidR="00FF47AF" w:rsidP="00FF47AF" w:rsidRDefault="00FF47AF" w14:paraId="2F3B14E7" w14:textId="77777777">
      <w:pPr>
        <w:pStyle w:val="ListParagraph"/>
        <w:rPr>
          <w:rFonts w:cs="Arial"/>
          <w:lang w:val="fr-FR"/>
        </w:rPr>
      </w:pPr>
    </w:p>
    <w:p w:rsidRPr="00A86354" w:rsidR="00FF47AF" w:rsidP="00CE016A" w:rsidRDefault="00FF47AF" w14:paraId="089DBD69" w14:textId="66EDAE29">
      <w:pPr>
        <w:pStyle w:val="ListParagraph"/>
        <w:numPr>
          <w:ilvl w:val="0"/>
          <w:numId w:val="1"/>
        </w:numPr>
        <w:ind w:left="0" w:firstLine="0"/>
        <w:rPr>
          <w:rFonts w:cs="Arial"/>
          <w:lang w:val="fr-FR"/>
        </w:rPr>
      </w:pPr>
      <w:r w:rsidRPr="00A86354">
        <w:rPr>
          <w:rFonts w:cs="Arial"/>
          <w:lang w:val="fr-FR"/>
        </w:rPr>
        <w:t>Enfin, le Gouvernement rappelle qu’en juillet 2018 a été lancée la démarche « Territoire 100% Inclusif » visant à engager tous les acteurs concourant au parcours de vie d’une personne handicapée – </w:t>
      </w:r>
      <w:r w:rsidRPr="00A86354" w:rsidR="008C2A64">
        <w:rPr>
          <w:rFonts w:cs="Arial"/>
          <w:lang w:val="fr-FR"/>
        </w:rPr>
        <w:t xml:space="preserve">y inclut </w:t>
      </w:r>
      <w:r w:rsidRPr="00A86354">
        <w:rPr>
          <w:rFonts w:cs="Arial"/>
          <w:lang w:val="fr-FR"/>
        </w:rPr>
        <w:t>école, entreprise, loisirs – à coopérer pour construire de nouvelles offres de service inclusives.</w:t>
      </w:r>
    </w:p>
    <w:p w:rsidRPr="00A86354" w:rsidR="008F0D0E" w:rsidP="008F0D0E" w:rsidRDefault="008F0D0E" w14:paraId="169082D1" w14:textId="77777777">
      <w:pPr>
        <w:ind w:left="360" w:hanging="360"/>
        <w:rPr>
          <w:rFonts w:ascii="Arial" w:hAnsi="Arial" w:cs="Arial"/>
          <w:lang w:val="fr-FR"/>
        </w:rPr>
      </w:pPr>
    </w:p>
    <w:p w:rsidRPr="00A86354" w:rsidR="00FF47AF" w:rsidP="00CE016A" w:rsidRDefault="00FF47AF" w14:paraId="67164BC9" w14:textId="7025EA69">
      <w:pPr>
        <w:pStyle w:val="ListParagraph"/>
        <w:numPr>
          <w:ilvl w:val="0"/>
          <w:numId w:val="1"/>
        </w:numPr>
        <w:ind w:left="0" w:firstLine="0"/>
        <w:rPr>
          <w:rFonts w:cs="Arial"/>
          <w:lang w:val="fr-FR"/>
        </w:rPr>
      </w:pPr>
      <w:r w:rsidRPr="00A86354">
        <w:rPr>
          <w:rFonts w:cs="Arial"/>
          <w:lang w:val="fr-FR"/>
        </w:rPr>
        <w:t>En ce qui concerne spécifiquement l’allégation selon laquelle l’absence de statistiques fiables sur la situation du handicap en France constitue un frein à l’élaboration et à la mise en œuvre d’une politique du handicap, le Gouvernement indique que des enquêtes spécifiquement dédiées à la thématique du handicap et de l’autonomie ont été réalisées par la Statistique publique pour la première fois à la fin des années 1990, et réitérées depuis à un rythme décennal environ. Il mentionne les diverses enquêtes spécifiques qui sont réalisées en France.</w:t>
      </w:r>
      <w:r w:rsidRPr="00A86354">
        <w:rPr>
          <w:lang w:val="fr-FR"/>
        </w:rPr>
        <w:t xml:space="preserve"> </w:t>
      </w:r>
      <w:r w:rsidRPr="00A86354">
        <w:rPr>
          <w:rFonts w:cs="Arial"/>
          <w:lang w:val="fr-FR"/>
        </w:rPr>
        <w:t>L’enquête « vie quotidienne et santé » (VQS), lancée en 2021, permettra d’estimer la prévalence de différents types de handicap au niveau départemental, ainsi que des ventilations par âge, sexe, zone rurale / urbaine et selon la situation socio-économique des individus (cette enquête a été menée de janvier à septembre 2021).</w:t>
      </w:r>
      <w:r w:rsidRPr="00A86354">
        <w:rPr>
          <w:lang w:val="fr-FR"/>
        </w:rPr>
        <w:t xml:space="preserve"> </w:t>
      </w:r>
      <w:r w:rsidRPr="00A86354">
        <w:rPr>
          <w:rFonts w:cs="Arial"/>
          <w:lang w:val="fr-FR"/>
        </w:rPr>
        <w:t>En outre, plusieurs enquêtes générales, comme « Emploi », « Revenus fiscaux et sociaux » (ERFS) et « Statistiques sur les ressources et conditions de vie » (SRCV, INSEE – volet français de l’</w:t>
      </w:r>
      <w:r w:rsidRPr="00A86354">
        <w:rPr>
          <w:rFonts w:cs="Arial"/>
          <w:i/>
          <w:iCs/>
          <w:lang w:val="fr-FR"/>
        </w:rPr>
        <w:t>European Union Statistics on Income Living Conditions</w:t>
      </w:r>
      <w:r w:rsidRPr="00A86354">
        <w:rPr>
          <w:rFonts w:cs="Arial"/>
          <w:lang w:val="fr-FR"/>
        </w:rPr>
        <w:t xml:space="preserve"> EU-SILC - Eurostat), </w:t>
      </w:r>
      <w:r w:rsidRPr="00A86354" w:rsidR="00CE6661">
        <w:rPr>
          <w:rFonts w:cs="Arial"/>
          <w:lang w:val="fr-FR"/>
        </w:rPr>
        <w:t>fournissent annuellement des données sur de nombreux aspects des conditions de vie des personnes handicapées, notamment, l'emploi, le chômage, les revenus et la pauvreté et les privations matérielles</w:t>
      </w:r>
      <w:r w:rsidRPr="00A86354" w:rsidR="00212E41">
        <w:rPr>
          <w:rFonts w:cs="Arial"/>
          <w:lang w:val="fr-FR"/>
        </w:rPr>
        <w:t>.</w:t>
      </w:r>
    </w:p>
    <w:p w:rsidRPr="00A86354" w:rsidR="00FF47AF" w:rsidP="00FF47AF" w:rsidRDefault="00FF47AF" w14:paraId="5D665AD9" w14:textId="77777777">
      <w:pPr>
        <w:pStyle w:val="ListParagraph"/>
        <w:rPr>
          <w:rFonts w:cs="Arial"/>
          <w:lang w:val="fr-FR"/>
        </w:rPr>
      </w:pPr>
    </w:p>
    <w:p w:rsidRPr="00A86354" w:rsidR="00FF47AF" w:rsidP="00CE016A" w:rsidRDefault="00FF47AF" w14:paraId="3AB82833" w14:textId="77777777">
      <w:pPr>
        <w:pStyle w:val="ListParagraph"/>
        <w:numPr>
          <w:ilvl w:val="0"/>
          <w:numId w:val="1"/>
        </w:numPr>
        <w:ind w:left="0" w:firstLine="0"/>
        <w:rPr>
          <w:rFonts w:cs="Arial"/>
          <w:lang w:val="fr-FR"/>
        </w:rPr>
      </w:pPr>
      <w:r w:rsidRPr="00A86354">
        <w:rPr>
          <w:rFonts w:cs="Arial"/>
          <w:lang w:val="fr-FR"/>
        </w:rPr>
        <w:t>Selon le Gouvernement, un des enjeux actuels est de construire des bases croisant des informations issues des nombreux producteurs de données. Les bases statistiques disponibles sont nombreuses et produites par un grand nombre d’organismes différents.</w:t>
      </w:r>
      <w:r w:rsidRPr="00A86354">
        <w:rPr>
          <w:lang w:val="fr-FR"/>
        </w:rPr>
        <w:t xml:space="preserve"> </w:t>
      </w:r>
      <w:r w:rsidRPr="00A86354">
        <w:rPr>
          <w:rFonts w:cs="Arial"/>
          <w:lang w:val="fr-FR"/>
        </w:rPr>
        <w:t>Un « groupe des producteurs de données statistiques sur le handicap et l’autonomie » a par conséquent été créé à l’automne 2020 afin de disposer d’une structure visible rassemblant tous les producteurs en même temps.</w:t>
      </w:r>
    </w:p>
    <w:p w:rsidRPr="00A86354" w:rsidR="008F0D0E" w:rsidP="008F0D0E" w:rsidRDefault="008F0D0E" w14:paraId="7B3ED9F9" w14:textId="77777777">
      <w:pPr>
        <w:ind w:left="360" w:hanging="360"/>
        <w:rPr>
          <w:rFonts w:ascii="Arial" w:hAnsi="Arial" w:cs="Arial"/>
          <w:lang w:val="fr-FR"/>
        </w:rPr>
      </w:pPr>
    </w:p>
    <w:p w:rsidRPr="00A86354" w:rsidR="00FF47AF" w:rsidP="00FF47AF" w:rsidRDefault="00FF47AF" w14:paraId="635A8196" w14:textId="77777777">
      <w:pPr>
        <w:pStyle w:val="ListParagraph"/>
        <w:rPr>
          <w:rFonts w:cs="Arial"/>
          <w:i/>
          <w:iCs/>
          <w:lang w:val="fr-FR"/>
        </w:rPr>
      </w:pPr>
      <w:r w:rsidRPr="00A86354">
        <w:rPr>
          <w:rFonts w:cs="Arial"/>
          <w:i/>
          <w:iCs/>
          <w:lang w:val="fr-FR"/>
        </w:rPr>
        <w:t>Accès à des services sociaux d’accompagnement</w:t>
      </w:r>
    </w:p>
    <w:p w:rsidRPr="00A86354" w:rsidR="008F0D0E" w:rsidP="008F0D0E" w:rsidRDefault="008F0D0E" w14:paraId="6C0D600E" w14:textId="77777777">
      <w:pPr>
        <w:ind w:left="360" w:hanging="360"/>
        <w:rPr>
          <w:rFonts w:ascii="Arial" w:hAnsi="Arial" w:cs="Arial"/>
          <w:lang w:val="fr-FR"/>
        </w:rPr>
      </w:pPr>
    </w:p>
    <w:p w:rsidRPr="00A86354" w:rsidR="00FF47AF" w:rsidP="00A86354" w:rsidRDefault="00FF47AF" w14:paraId="4C1748FC" w14:textId="77777777">
      <w:pPr>
        <w:pStyle w:val="Heading1"/>
        <w:ind w:left="709"/>
        <w:rPr>
          <w:lang w:val="fr-FR"/>
        </w:rPr>
      </w:pPr>
      <w:r w:rsidRPr="00A86354">
        <w:rPr>
          <w:lang w:val="fr-FR"/>
        </w:rPr>
        <w:lastRenderedPageBreak/>
        <w:t>Services sociaux</w:t>
      </w:r>
    </w:p>
    <w:p w:rsidRPr="00A86354" w:rsidR="008F0D0E" w:rsidP="008F0D0E" w:rsidRDefault="008F0D0E" w14:paraId="3A937247" w14:textId="77777777">
      <w:pPr>
        <w:ind w:left="360" w:hanging="360"/>
        <w:rPr>
          <w:rFonts w:ascii="Arial" w:hAnsi="Arial" w:cs="Arial"/>
          <w:lang w:val="fr-FR"/>
        </w:rPr>
      </w:pPr>
    </w:p>
    <w:p w:rsidRPr="00A86354" w:rsidR="00FF47AF" w:rsidP="00CE016A" w:rsidRDefault="00FF47AF" w14:paraId="2628198B" w14:textId="0036CF88">
      <w:pPr>
        <w:pStyle w:val="ListParagraph"/>
        <w:numPr>
          <w:ilvl w:val="0"/>
          <w:numId w:val="1"/>
        </w:numPr>
        <w:ind w:left="0" w:firstLine="0"/>
        <w:rPr>
          <w:rFonts w:cs="Arial"/>
          <w:lang w:val="fr-FR"/>
        </w:rPr>
      </w:pPr>
      <w:r w:rsidRPr="00A86354">
        <w:rPr>
          <w:rFonts w:cs="Arial"/>
          <w:lang w:val="fr-FR"/>
        </w:rPr>
        <w:t>Le Gouvernement souligne qu’un plan de prévention des départs non souhaités vers la Belgique a été mis en place par une instruction du 22 janvier 2016, et que ce plan a bénéficié de crédits de 15 millions EUR répartis entre les régions concernées afin de financer des solutions de proximité (pôles de compétences et de prestations externalisées, renforts de personnels et créations de places adaptées dans des établissements et services médico-sociaux). Les solutions dégagées dans ce cadre consistent à proposer un plan d’accompagnement global à toute personne sans solution d’accompagnement effectif. En outre, un chantier dans le cadre de la 5</w:t>
      </w:r>
      <w:r w:rsidRPr="00A86354">
        <w:rPr>
          <w:rFonts w:cs="Arial"/>
          <w:vertAlign w:val="superscript"/>
          <w:lang w:val="fr-FR"/>
        </w:rPr>
        <w:t>e</w:t>
      </w:r>
      <w:r w:rsidRPr="00A86354">
        <w:rPr>
          <w:rFonts w:cs="Arial"/>
          <w:lang w:val="fr-FR"/>
        </w:rPr>
        <w:t> Conférence nationale du handicap, lancée le 3 décembre 2018 et intitulée « Tous concernés, tous mobilisés », a été ouvert afin de trouver des alternatives au départ de citoyens français en Belgique.</w:t>
      </w:r>
    </w:p>
    <w:p w:rsidRPr="00A86354" w:rsidR="00FF47AF" w:rsidP="00FF47AF" w:rsidRDefault="00FF47AF" w14:paraId="6B68B95E" w14:textId="77777777">
      <w:pPr>
        <w:pStyle w:val="ListParagraph"/>
        <w:rPr>
          <w:rFonts w:cs="Arial"/>
          <w:lang w:val="fr-FR"/>
        </w:rPr>
      </w:pPr>
    </w:p>
    <w:p w:rsidRPr="00A86354" w:rsidR="00FF47AF" w:rsidP="00CE016A" w:rsidRDefault="00FF47AF" w14:paraId="2B9C3D1E" w14:textId="77777777">
      <w:pPr>
        <w:pStyle w:val="ListParagraph"/>
        <w:numPr>
          <w:ilvl w:val="0"/>
          <w:numId w:val="1"/>
        </w:numPr>
        <w:ind w:left="0" w:firstLine="0"/>
        <w:rPr>
          <w:rFonts w:cs="Arial"/>
          <w:lang w:val="fr-FR"/>
        </w:rPr>
      </w:pPr>
      <w:r w:rsidRPr="00A86354">
        <w:rPr>
          <w:rFonts w:cs="Arial"/>
          <w:lang w:val="fr-FR"/>
        </w:rPr>
        <w:t>Les informations fournies par le Gouvernement portent essentiellement sur les mesures sociales prises ou envisagées pour assurer l’accès des enfants handicapés à l’éducation. Ses observations sont indiquées et analysées plus bas dans la section II, « Violation alléguée de l’article 15§1 de la Charte ».</w:t>
      </w:r>
    </w:p>
    <w:p w:rsidRPr="00A86354" w:rsidR="008F0D0E" w:rsidP="008F0D0E" w:rsidRDefault="008F0D0E" w14:paraId="1E7D3A9D" w14:textId="77777777">
      <w:pPr>
        <w:ind w:left="360" w:hanging="360"/>
        <w:rPr>
          <w:rFonts w:ascii="Arial" w:hAnsi="Arial" w:cs="Arial"/>
          <w:lang w:val="fr-FR"/>
        </w:rPr>
      </w:pPr>
    </w:p>
    <w:p w:rsidRPr="00A86354" w:rsidR="00FF47AF" w:rsidP="00CE016A" w:rsidRDefault="00FF47AF" w14:paraId="1913712F" w14:textId="77777777">
      <w:pPr>
        <w:pStyle w:val="Heading1"/>
        <w:numPr>
          <w:ilvl w:val="1"/>
          <w:numId w:val="14"/>
        </w:numPr>
        <w:ind w:left="709"/>
        <w:rPr>
          <w:lang w:val="fr-FR"/>
        </w:rPr>
      </w:pPr>
      <w:r w:rsidRPr="00A86354">
        <w:rPr>
          <w:lang w:val="fr-FR"/>
        </w:rPr>
        <w:t>Aide financière</w:t>
      </w:r>
    </w:p>
    <w:p w:rsidRPr="00A86354" w:rsidR="008F0D0E" w:rsidP="008F0D0E" w:rsidRDefault="008F0D0E" w14:paraId="6FCB6B14" w14:textId="77777777">
      <w:pPr>
        <w:ind w:left="360" w:hanging="360"/>
        <w:rPr>
          <w:rFonts w:ascii="Arial" w:hAnsi="Arial" w:cs="Arial"/>
          <w:lang w:val="fr-FR"/>
        </w:rPr>
      </w:pPr>
    </w:p>
    <w:p w:rsidRPr="00A86354" w:rsidR="00FF47AF" w:rsidP="00CE016A" w:rsidRDefault="00FF47AF" w14:paraId="3D6B8145" w14:textId="77777777">
      <w:pPr>
        <w:pStyle w:val="ListParagraph"/>
        <w:numPr>
          <w:ilvl w:val="0"/>
          <w:numId w:val="1"/>
        </w:numPr>
        <w:ind w:left="0" w:firstLine="0"/>
        <w:rPr>
          <w:rFonts w:cs="Arial"/>
          <w:lang w:val="fr-FR"/>
        </w:rPr>
      </w:pPr>
      <w:r w:rsidRPr="00A86354">
        <w:rPr>
          <w:rFonts w:cs="Arial"/>
          <w:lang w:val="fr-FR"/>
        </w:rPr>
        <w:t>En ce qui concerne l’aide financière, le Gouvernement souligne que les problématiques liées à la mise en œuvre de la PCH sont bien identifiées, notamment grâce au rapport de l’IGAS de 2016 relatif à l’amélioration de la PCH (également mentionné par les organisations réclamantes).</w:t>
      </w:r>
    </w:p>
    <w:p w:rsidRPr="00A86354" w:rsidR="008F0D0E" w:rsidP="008F0D0E" w:rsidRDefault="008F0D0E" w14:paraId="215BBE07" w14:textId="77777777">
      <w:pPr>
        <w:ind w:left="360" w:hanging="360"/>
        <w:rPr>
          <w:rFonts w:ascii="Arial" w:hAnsi="Arial" w:cs="Arial"/>
          <w:lang w:val="fr-FR"/>
        </w:rPr>
      </w:pPr>
    </w:p>
    <w:p w:rsidRPr="00A86354" w:rsidR="00FF47AF" w:rsidP="00CE016A" w:rsidRDefault="00FF47AF" w14:paraId="38112998" w14:textId="77777777">
      <w:pPr>
        <w:pStyle w:val="ListParagraph"/>
        <w:numPr>
          <w:ilvl w:val="0"/>
          <w:numId w:val="1"/>
        </w:numPr>
        <w:ind w:left="0" w:firstLine="0"/>
        <w:rPr>
          <w:rFonts w:cs="Arial"/>
          <w:lang w:val="fr-FR"/>
        </w:rPr>
      </w:pPr>
      <w:r w:rsidRPr="00A86354">
        <w:rPr>
          <w:rFonts w:cs="Arial"/>
          <w:lang w:val="fr-FR"/>
        </w:rPr>
        <w:t>Selon le Gouvernement, plusieurs chantiers sont en cours pour traiter les points soulevés dans le rapport de 2016 de l’IGAS. Le Comité interministériel du handicap du 25 octobre 2018 a ainsi retenu une mesure visant à engager la révision de la liste des produits et prestations remboursables par l’Assurance maladie et à actualiser l’arrêté fixant les tarifs de la PCH concernant les aides techniques, en cohérence avec l’évolution des besoins.</w:t>
      </w:r>
      <w:r w:rsidRPr="00A86354">
        <w:rPr>
          <w:lang w:val="fr-FR"/>
        </w:rPr>
        <w:t xml:space="preserve"> </w:t>
      </w:r>
      <w:r w:rsidRPr="00A86354">
        <w:rPr>
          <w:rFonts w:cs="Arial"/>
          <w:lang w:val="fr-FR"/>
        </w:rPr>
        <w:t>Par ailleurs, deux chantiers vont être conduits dans le cadre de la Conférence nationale du handicap lancée le 3 décembre 2018, l’un sur la simplification et l’amélioration de la PCH afin de mieux prendre en compte les besoins des personnes (conformément au décret du 27 octobre 2021, la PCH concernant les aides humaines et techniques est allouée pour dix ans et peut être attribuée sans limitation de durée lorsque le handicap n’est pas susceptible d’évoluer favorablement), et le second sur l’articulation entre la PCH et l’allocation d’éducation de l’enfant handicapé (AEEH) afin d’améliorer la compensation du handicap des enfants.</w:t>
      </w:r>
    </w:p>
    <w:p w:rsidRPr="00A86354" w:rsidR="008F0D0E" w:rsidP="008F0D0E" w:rsidRDefault="008F0D0E" w14:paraId="45D924A1" w14:textId="77777777">
      <w:pPr>
        <w:ind w:left="360" w:hanging="360"/>
        <w:rPr>
          <w:rFonts w:ascii="Arial" w:hAnsi="Arial" w:cs="Arial"/>
          <w:lang w:val="fr-FR"/>
        </w:rPr>
      </w:pPr>
    </w:p>
    <w:p w:rsidRPr="00A86354" w:rsidR="00FF47AF" w:rsidP="00CE016A" w:rsidRDefault="00FF47AF" w14:paraId="0951375D" w14:textId="00169359">
      <w:pPr>
        <w:pStyle w:val="ListParagraph"/>
        <w:numPr>
          <w:ilvl w:val="0"/>
          <w:numId w:val="1"/>
        </w:numPr>
        <w:ind w:left="0" w:firstLine="0"/>
        <w:rPr>
          <w:rFonts w:cs="Arial"/>
          <w:lang w:val="fr-FR"/>
        </w:rPr>
      </w:pPr>
      <w:r w:rsidRPr="00A86354">
        <w:rPr>
          <w:rFonts w:cs="Arial"/>
          <w:lang w:val="fr-FR"/>
        </w:rPr>
        <w:t>En ce qui concerne la non-publication du décret d’application qui permettrait d’encadrer l’utilisation des fonds départementaux de compensation dans le but de couvrir le reste à charge</w:t>
      </w:r>
      <w:r w:rsidRPr="00A86354" w:rsidR="00505426">
        <w:rPr>
          <w:rFonts w:cs="Arial"/>
          <w:lang w:val="fr-FR"/>
        </w:rPr>
        <w:t xml:space="preserve"> (voir, </w:t>
      </w:r>
      <w:r w:rsidR="003E6AC0">
        <w:rPr>
          <w:rFonts w:cs="Arial"/>
          <w:lang w:val="fr-FR"/>
        </w:rPr>
        <w:t>par.</w:t>
      </w:r>
      <w:r w:rsidRPr="00A86354" w:rsidR="00505426">
        <w:rPr>
          <w:rFonts w:cs="Arial"/>
          <w:lang w:val="fr-FR"/>
        </w:rPr>
        <w:t xml:space="preserve"> 1</w:t>
      </w:r>
      <w:r w:rsidRPr="00A86354" w:rsidR="00896AC2">
        <w:rPr>
          <w:rFonts w:cs="Arial"/>
          <w:lang w:val="fr-FR"/>
        </w:rPr>
        <w:t>41</w:t>
      </w:r>
      <w:r w:rsidRPr="00A86354" w:rsidR="00505426">
        <w:rPr>
          <w:rFonts w:cs="Arial"/>
          <w:lang w:val="fr-FR"/>
        </w:rPr>
        <w:t xml:space="preserve"> ci-dessus)</w:t>
      </w:r>
      <w:r w:rsidRPr="00A86354">
        <w:rPr>
          <w:rFonts w:cs="Arial"/>
          <w:lang w:val="fr-FR"/>
        </w:rPr>
        <w:t xml:space="preserve">, le Gouvernement indique que l’application de l’article L.146-5 du code de l’action sociale et des familles (modifié par l’article 64 de la loi de 2005), selon lequel le reste à charge du bénéficiaire ne peut excéder 10 % de ses ressources personnelles, se heurte à une contradiction entre l’obligation de financement (alinéa 2 de l’article L.146-5) et le caractère volontaire de l’abondement du fonds (alinéa 3 de ce même article) par le département, l’État, les autres collectivités territoriales, les organismes d’assurance </w:t>
      </w:r>
      <w:r w:rsidRPr="00A86354">
        <w:rPr>
          <w:rFonts w:cs="Arial"/>
          <w:lang w:val="fr-FR"/>
        </w:rPr>
        <w:lastRenderedPageBreak/>
        <w:t>maladie, les caisses d’allocations familiales, les organismes régis par le code de la mutualité et les autres personnes morales concernées. Selon le Gouvernement,</w:t>
      </w:r>
      <w:r w:rsidRPr="00A86354">
        <w:rPr>
          <w:lang w:val="fr-FR"/>
        </w:rPr>
        <w:t xml:space="preserve"> </w:t>
      </w:r>
      <w:r w:rsidRPr="00A86354">
        <w:rPr>
          <w:rFonts w:cs="Arial"/>
          <w:lang w:val="fr-FR"/>
        </w:rPr>
        <w:t xml:space="preserve">cette contradiction explique que le décret d’application n’ait pas été pris à ce jour (voir plus bas </w:t>
      </w:r>
      <w:r w:rsidR="008532B8">
        <w:rPr>
          <w:rFonts w:cs="Arial"/>
          <w:lang w:val="fr-FR"/>
        </w:rPr>
        <w:t>par.</w:t>
      </w:r>
      <w:r w:rsidRPr="00A86354">
        <w:rPr>
          <w:rFonts w:cs="Arial"/>
          <w:lang w:val="fr-FR"/>
        </w:rPr>
        <w:t> </w:t>
      </w:r>
      <w:r w:rsidRPr="00A86354" w:rsidR="00505426">
        <w:rPr>
          <w:rFonts w:cs="Arial"/>
          <w:lang w:val="fr-FR"/>
        </w:rPr>
        <w:t>20</w:t>
      </w:r>
      <w:r w:rsidRPr="00A86354" w:rsidR="00896AC2">
        <w:rPr>
          <w:rFonts w:cs="Arial"/>
          <w:lang w:val="fr-FR"/>
        </w:rPr>
        <w:t>9</w:t>
      </w:r>
      <w:r w:rsidRPr="00A86354" w:rsidR="00505426">
        <w:rPr>
          <w:rFonts w:cs="Arial"/>
          <w:lang w:val="fr-FR"/>
        </w:rPr>
        <w:t>)</w:t>
      </w:r>
      <w:r w:rsidRPr="00A86354">
        <w:rPr>
          <w:rFonts w:cs="Arial"/>
          <w:lang w:val="fr-FR"/>
        </w:rPr>
        <w:t xml:space="preserve"> portant sur l’adoption du décret du 25 avril 2022 concernant l’utilisation des fonds départementaux).</w:t>
      </w:r>
    </w:p>
    <w:p w:rsidRPr="00A86354" w:rsidR="008F0D0E" w:rsidP="008F0D0E" w:rsidRDefault="008F0D0E" w14:paraId="7CE03C83" w14:textId="77777777">
      <w:pPr>
        <w:ind w:left="360" w:hanging="360"/>
        <w:rPr>
          <w:rFonts w:ascii="Arial" w:hAnsi="Arial" w:cs="Arial"/>
          <w:lang w:val="fr-FR"/>
        </w:rPr>
      </w:pPr>
    </w:p>
    <w:p w:rsidRPr="00A86354" w:rsidR="00FF47AF" w:rsidP="00CE016A" w:rsidRDefault="00FF47AF" w14:paraId="3A745E0F" w14:textId="77777777">
      <w:pPr>
        <w:pStyle w:val="ListParagraph"/>
        <w:numPr>
          <w:ilvl w:val="0"/>
          <w:numId w:val="1"/>
        </w:numPr>
        <w:ind w:left="0" w:firstLine="0"/>
        <w:rPr>
          <w:rFonts w:cs="Arial"/>
          <w:lang w:val="fr-FR"/>
        </w:rPr>
      </w:pPr>
      <w:r w:rsidRPr="00A86354">
        <w:rPr>
          <w:rFonts w:cs="Arial"/>
          <w:lang w:val="fr-FR"/>
        </w:rPr>
        <w:t>Selon le Gouvernement, l’allocation adulte handicapé (AAH), d’un montant maximum de 902,70 EUR par mois, est versée aux personnes dont le handicap rend difficile l’accès au marché du travail. Pour améliorer le pouvoir d’achat des personnes en situation de handicap, l’AAH a été revalorisée en 2018 et 2019 pour 775 millions EUR par an, tandis que les procédures administratives d’obtention ont été simplifiées.</w:t>
      </w:r>
    </w:p>
    <w:p w:rsidRPr="00A86354" w:rsidR="008F0D0E" w:rsidP="008F0D0E" w:rsidRDefault="008F0D0E" w14:paraId="73BE14AA" w14:textId="77777777">
      <w:pPr>
        <w:ind w:left="360" w:hanging="360"/>
        <w:rPr>
          <w:rFonts w:ascii="Arial" w:hAnsi="Arial" w:cs="Arial"/>
          <w:lang w:val="fr-FR"/>
        </w:rPr>
      </w:pPr>
    </w:p>
    <w:p w:rsidRPr="00A86354" w:rsidR="00FF47AF" w:rsidP="00FF47AF" w:rsidRDefault="00FF47AF" w14:paraId="1EC5C348" w14:textId="77777777">
      <w:pPr>
        <w:rPr>
          <w:rFonts w:ascii="Arial" w:hAnsi="Arial" w:cs="Arial"/>
          <w:i/>
          <w:iCs/>
          <w:lang w:val="fr-FR"/>
        </w:rPr>
      </w:pPr>
      <w:r w:rsidRPr="00A86354">
        <w:rPr>
          <w:rFonts w:ascii="Arial" w:hAnsi="Arial" w:cs="Arial"/>
          <w:i/>
          <w:iCs/>
          <w:lang w:val="fr-FR"/>
        </w:rPr>
        <w:t>Accessibilité des bâtiments et installations publics</w:t>
      </w:r>
    </w:p>
    <w:p w:rsidRPr="00A86354" w:rsidR="008F0D0E" w:rsidP="008F0D0E" w:rsidRDefault="008F0D0E" w14:paraId="309BA571" w14:textId="77777777">
      <w:pPr>
        <w:ind w:left="360" w:hanging="360"/>
        <w:rPr>
          <w:rFonts w:ascii="Arial" w:hAnsi="Arial" w:cs="Arial"/>
          <w:lang w:val="fr-FR"/>
        </w:rPr>
      </w:pPr>
    </w:p>
    <w:p w:rsidRPr="00A86354" w:rsidR="00FF47AF" w:rsidP="00CE016A" w:rsidRDefault="00FF47AF" w14:paraId="171F5506" w14:textId="77777777">
      <w:pPr>
        <w:pStyle w:val="ListParagraph"/>
        <w:numPr>
          <w:ilvl w:val="0"/>
          <w:numId w:val="1"/>
        </w:numPr>
        <w:ind w:left="0" w:firstLine="0"/>
        <w:rPr>
          <w:rFonts w:cs="Arial"/>
          <w:lang w:val="fr-FR"/>
        </w:rPr>
      </w:pPr>
      <w:r w:rsidRPr="00A86354">
        <w:rPr>
          <w:rFonts w:cs="Arial"/>
          <w:lang w:val="fr-FR"/>
        </w:rPr>
        <w:t>Le Gouvernement dit être conscient qu’en matière d’accessibilité, la mise en œuvre de la loi de 2005 s’est révélée plus difficile que prévu, aussi bien pour le cadre bâti qu’en matière de transports.</w:t>
      </w:r>
    </w:p>
    <w:p w:rsidRPr="00A86354" w:rsidR="00FF47AF" w:rsidP="00FF47AF" w:rsidRDefault="00FF47AF" w14:paraId="280D97BB" w14:textId="77777777">
      <w:pPr>
        <w:pStyle w:val="ListParagraph"/>
        <w:rPr>
          <w:rFonts w:cs="Arial"/>
          <w:lang w:val="fr-FR"/>
        </w:rPr>
      </w:pPr>
    </w:p>
    <w:p w:rsidRPr="00A86354" w:rsidR="00FF47AF" w:rsidP="00CE016A" w:rsidRDefault="00FF47AF" w14:paraId="2C829E87" w14:textId="30FBFBC7">
      <w:pPr>
        <w:pStyle w:val="ListParagraph"/>
        <w:numPr>
          <w:ilvl w:val="0"/>
          <w:numId w:val="1"/>
        </w:numPr>
        <w:ind w:left="0" w:firstLine="0"/>
        <w:rPr>
          <w:rFonts w:cs="Arial"/>
          <w:lang w:val="fr-FR"/>
        </w:rPr>
      </w:pPr>
      <w:r w:rsidRPr="00A86354">
        <w:rPr>
          <w:rFonts w:cs="Arial"/>
          <w:lang w:val="fr-FR"/>
        </w:rPr>
        <w:t>Compte tenu de l’impossibilité de respecter l’échéance de mise en accessibilité prévue dans la loi de 2005, l’ordonnance n° 2014-1090 du 26 septembre 2014 a mis en place un nouveau dispositif d’échéanciers : l’</w:t>
      </w:r>
      <w:bookmarkStart w:name="_Hlk115856624" w:id="21"/>
      <w:r w:rsidRPr="00A86354">
        <w:rPr>
          <w:rFonts w:cs="Arial"/>
          <w:lang w:val="fr-FR"/>
        </w:rPr>
        <w:t>agenda d’accessibilité programmée</w:t>
      </w:r>
      <w:bookmarkEnd w:id="21"/>
      <w:r w:rsidRPr="00A86354">
        <w:rPr>
          <w:rFonts w:cs="Arial"/>
          <w:lang w:val="fr-FR"/>
        </w:rPr>
        <w:t>, nommé Ad’AP en ce qui concerne le cadre bâti, où il est obligatoire et engage le gestionnaire d’établissement à réaliser les travaux, et SD’AP (</w:t>
      </w:r>
      <w:bookmarkStart w:name="_Hlk115856721" w:id="22"/>
      <w:r w:rsidRPr="00A86354">
        <w:rPr>
          <w:rFonts w:cs="Arial"/>
          <w:lang w:val="fr-FR"/>
        </w:rPr>
        <w:t>schéma directeur d’accessibilité</w:t>
      </w:r>
      <w:bookmarkEnd w:id="22"/>
      <w:r w:rsidRPr="00A86354">
        <w:rPr>
          <w:rFonts w:cs="Arial"/>
          <w:lang w:val="fr-FR"/>
        </w:rPr>
        <w:t>-agenda d’accessibilité programmée) pour le domaine des transports où il est un outil d’application volontaire (voir plus haut</w:t>
      </w:r>
      <w:r w:rsidR="008532B8">
        <w:rPr>
          <w:rFonts w:cs="Arial"/>
          <w:lang w:val="fr-FR"/>
        </w:rPr>
        <w:t xml:space="preserve"> paragraphes</w:t>
      </w:r>
      <w:r w:rsidRPr="00A86354" w:rsidR="00DA24FF">
        <w:rPr>
          <w:rFonts w:cs="Arial"/>
          <w:lang w:val="fr-FR"/>
        </w:rPr>
        <w:t xml:space="preserve"> </w:t>
      </w:r>
      <w:r w:rsidRPr="00A86354" w:rsidR="00896AC2">
        <w:rPr>
          <w:rFonts w:cs="Arial"/>
          <w:lang w:val="fr-FR"/>
        </w:rPr>
        <w:t>81</w:t>
      </w:r>
      <w:r w:rsidRPr="00A86354" w:rsidR="00DA24FF">
        <w:rPr>
          <w:rFonts w:cs="Arial"/>
          <w:lang w:val="fr-FR"/>
        </w:rPr>
        <w:t xml:space="preserve"> et 8</w:t>
      </w:r>
      <w:r w:rsidRPr="00A86354" w:rsidR="00896AC2">
        <w:rPr>
          <w:rFonts w:cs="Arial"/>
          <w:lang w:val="fr-FR"/>
        </w:rPr>
        <w:t>7</w:t>
      </w:r>
      <w:r w:rsidRPr="00A86354">
        <w:rPr>
          <w:rFonts w:cs="Arial"/>
          <w:lang w:val="fr-FR"/>
        </w:rPr>
        <w:t>).</w:t>
      </w:r>
    </w:p>
    <w:p w:rsidRPr="00A86354" w:rsidR="008F0D0E" w:rsidP="008F0D0E" w:rsidRDefault="008F0D0E" w14:paraId="2788D220" w14:textId="77777777">
      <w:pPr>
        <w:ind w:left="360" w:hanging="360"/>
        <w:rPr>
          <w:rFonts w:ascii="Arial" w:hAnsi="Arial" w:cs="Arial"/>
          <w:lang w:val="fr-FR"/>
        </w:rPr>
      </w:pPr>
    </w:p>
    <w:p w:rsidRPr="00A86354" w:rsidR="00FF47AF" w:rsidP="00CE016A" w:rsidRDefault="00FF47AF" w14:paraId="34757507" w14:textId="7830D988">
      <w:pPr>
        <w:pStyle w:val="ListParagraph"/>
        <w:numPr>
          <w:ilvl w:val="0"/>
          <w:numId w:val="1"/>
        </w:numPr>
        <w:ind w:left="0" w:firstLine="0"/>
        <w:rPr>
          <w:rFonts w:cs="Arial"/>
          <w:lang w:val="fr-FR"/>
        </w:rPr>
      </w:pPr>
      <w:r w:rsidRPr="00A86354">
        <w:rPr>
          <w:rFonts w:cs="Arial"/>
          <w:lang w:val="fr-FR"/>
        </w:rPr>
        <w:t>Selon le Gouvernement, plus de 660 000 établissements recevant du public sont désormais entrés dans ce dispositif Ad’AP, alors que moins de 50 000 s’étaient mis en accessibilité entre 2005 et 2015. Quant aux établissements de 5</w:t>
      </w:r>
      <w:r w:rsidRPr="00A86354">
        <w:rPr>
          <w:rFonts w:cs="Arial"/>
          <w:vertAlign w:val="superscript"/>
          <w:lang w:val="fr-FR"/>
        </w:rPr>
        <w:t>e</w:t>
      </w:r>
      <w:r w:rsidRPr="00A86354">
        <w:rPr>
          <w:rFonts w:cs="Arial"/>
          <w:lang w:val="fr-FR"/>
        </w:rPr>
        <w:t> catégorie, le Gouvernement indique que, pour faciliter leur accès, 100 postes d’« ambassadeur du service civique » (jeunes volontaires) ont été créés. Ces volontaires seront chargés d’apporter un accompagnement et une sensibilisation spécifique à tous les gestionnaires des ERP du quotidien, afin de leur permettre de progresser dans la voie de la mise en accessibilité. Le Gouvernement indique aussi qu’il</w:t>
      </w:r>
      <w:r w:rsidRPr="00A86354">
        <w:rPr>
          <w:lang w:val="fr-FR"/>
        </w:rPr>
        <w:t xml:space="preserve"> </w:t>
      </w:r>
      <w:r w:rsidRPr="00A86354">
        <w:rPr>
          <w:rFonts w:cs="Arial"/>
          <w:lang w:val="fr-FR"/>
        </w:rPr>
        <w:t>déploiera, d’ici fin 2022, 1 000 jeunes en Service civique. Ce dispositif, déjà expérimenté en 2020 dans 13 collectivités territoriales, sera financé à hauteur de 80 % par l’État.</w:t>
      </w:r>
    </w:p>
    <w:p w:rsidRPr="00A86354" w:rsidR="008F0D0E" w:rsidP="008F0D0E" w:rsidRDefault="008F0D0E" w14:paraId="5102AC30" w14:textId="77777777">
      <w:pPr>
        <w:ind w:left="360" w:hanging="360"/>
        <w:rPr>
          <w:rFonts w:ascii="Arial" w:hAnsi="Arial" w:cs="Arial"/>
          <w:lang w:val="fr-FR"/>
        </w:rPr>
      </w:pPr>
    </w:p>
    <w:p w:rsidRPr="00A86354" w:rsidR="00FF47AF" w:rsidP="00FF47AF" w:rsidRDefault="00FF47AF" w14:paraId="2D87BE95" w14:textId="77777777">
      <w:pPr>
        <w:rPr>
          <w:rFonts w:ascii="Arial" w:hAnsi="Arial" w:cs="Arial"/>
          <w:i/>
          <w:iCs/>
          <w:lang w:val="fr-FR"/>
        </w:rPr>
      </w:pPr>
      <w:r w:rsidRPr="00A86354">
        <w:rPr>
          <w:rFonts w:ascii="Arial" w:hAnsi="Arial" w:cs="Arial"/>
          <w:i/>
          <w:iCs/>
          <w:lang w:val="fr-FR"/>
        </w:rPr>
        <w:t>Accessibilité des logements</w:t>
      </w:r>
    </w:p>
    <w:p w:rsidRPr="00A86354" w:rsidR="008F0D0E" w:rsidP="008F0D0E" w:rsidRDefault="008F0D0E" w14:paraId="396F6E1B" w14:textId="77777777">
      <w:pPr>
        <w:ind w:left="360" w:hanging="360"/>
        <w:rPr>
          <w:rFonts w:ascii="Arial" w:hAnsi="Arial" w:cs="Arial"/>
          <w:lang w:val="fr-FR"/>
        </w:rPr>
      </w:pPr>
    </w:p>
    <w:p w:rsidRPr="00A86354" w:rsidR="00FF47AF" w:rsidP="00CE016A" w:rsidRDefault="00FF47AF" w14:paraId="6736F1A3" w14:textId="77777777">
      <w:pPr>
        <w:pStyle w:val="ListParagraph"/>
        <w:numPr>
          <w:ilvl w:val="0"/>
          <w:numId w:val="1"/>
        </w:numPr>
        <w:ind w:left="0" w:firstLine="0"/>
        <w:rPr>
          <w:rFonts w:cs="Arial"/>
          <w:lang w:val="fr-FR"/>
        </w:rPr>
      </w:pPr>
      <w:r w:rsidRPr="00A86354">
        <w:rPr>
          <w:rFonts w:cs="Arial"/>
          <w:lang w:val="fr-FR"/>
        </w:rPr>
        <w:t>En ce qui concerne l’accessibilité des logements, y compris sociaux, le Gouvernement souligne que l’article L.111-7-1 du code de la construction et de l’habitation, introduit par l’article 64 de la loi ELAN, dispose qu’en fonction des caractéristiques des bâtiments d’habitation collectifs neufs, 20% de leurs logements et au moins un logement sont accessibles tandis que les autres sont évolutifs, ce qui permettra d’assurer une évolution des logements en fonction des besoins des occupants.</w:t>
      </w:r>
      <w:r w:rsidRPr="00A86354">
        <w:rPr>
          <w:lang w:val="fr-FR"/>
        </w:rPr>
        <w:t xml:space="preserve"> </w:t>
      </w:r>
      <w:r w:rsidRPr="00A86354">
        <w:rPr>
          <w:rFonts w:cs="Arial"/>
          <w:lang w:val="fr-FR"/>
        </w:rPr>
        <w:t xml:space="preserve">Par ailleurs, la loi ELAN abaisse l’obligation d’ascenseur pour les bâtiments d’habitation collectifs neufs à ceux qui comptent au moins trois étages au lieu de quatre étages antérieurement, ce qui contribue à augmenter le nombre de </w:t>
      </w:r>
      <w:r w:rsidRPr="00A86354">
        <w:rPr>
          <w:rFonts w:cs="Arial"/>
          <w:lang w:val="fr-FR"/>
        </w:rPr>
        <w:lastRenderedPageBreak/>
        <w:t>logements accessibles aux personnes handicapées et plus largement en perte d’autonomie.</w:t>
      </w:r>
    </w:p>
    <w:p w:rsidRPr="00A86354" w:rsidR="00FF47AF" w:rsidP="00FF47AF" w:rsidRDefault="00FF47AF" w14:paraId="41E0E12B" w14:textId="77777777">
      <w:pPr>
        <w:pStyle w:val="ListParagraph"/>
        <w:rPr>
          <w:rFonts w:cs="Arial"/>
          <w:lang w:val="fr-FR"/>
        </w:rPr>
      </w:pPr>
    </w:p>
    <w:p w:rsidRPr="00A86354" w:rsidR="00FF47AF" w:rsidP="00CE016A" w:rsidRDefault="00FF47AF" w14:paraId="6B2AF820" w14:textId="77777777">
      <w:pPr>
        <w:pStyle w:val="ListParagraph"/>
        <w:numPr>
          <w:ilvl w:val="0"/>
          <w:numId w:val="1"/>
        </w:numPr>
        <w:ind w:left="0" w:firstLine="0"/>
        <w:rPr>
          <w:rFonts w:cs="Arial"/>
          <w:lang w:val="fr-FR"/>
        </w:rPr>
      </w:pPr>
      <w:r w:rsidRPr="00A86354">
        <w:rPr>
          <w:rFonts w:cs="Arial"/>
          <w:lang w:val="fr-FR"/>
        </w:rPr>
        <w:t>Le Gouvernement mentionne plusieurs recommandations faites en juin 2020 par deux rapporteurs spéciaux nommés par le Premier ministre pour accélérer le développement d’un nouveau modèle d’habitat accessible. Ces travaux ont vocation à fixer les bases d’une politique permettant de lever les freins à l’autonomie des personnes handicapées. Selon le Gouvernement,</w:t>
      </w:r>
      <w:r w:rsidRPr="00A86354">
        <w:rPr>
          <w:lang w:val="fr-FR"/>
        </w:rPr>
        <w:t xml:space="preserve"> </w:t>
      </w:r>
      <w:r w:rsidRPr="00A86354">
        <w:rPr>
          <w:rFonts w:cs="Arial"/>
          <w:lang w:val="fr-FR"/>
        </w:rPr>
        <w:t>les possibilités de logement pour les personnes handicapées vont être améliorées avec la double obligation, dans tout immeuble neuf, d’un ascenseur dès le 3</w:t>
      </w:r>
      <w:r w:rsidRPr="00A86354">
        <w:rPr>
          <w:rFonts w:cs="Arial"/>
          <w:vertAlign w:val="superscript"/>
          <w:lang w:val="fr-FR"/>
        </w:rPr>
        <w:t>e</w:t>
      </w:r>
      <w:r w:rsidRPr="00A86354">
        <w:rPr>
          <w:rFonts w:cs="Arial"/>
          <w:lang w:val="fr-FR"/>
        </w:rPr>
        <w:t> étage et d’une zone de douche avec un accès sans ressaut (ou « douche à l’italienne »), pour permettre un accès encore plus facile et sécurisé aux personnes à mobilité réduite, à partir de 2021 (décret du 11 septembre 2020 entré en vigueur le 1</w:t>
      </w:r>
      <w:r w:rsidRPr="00A86354">
        <w:rPr>
          <w:rFonts w:cs="Arial"/>
          <w:vertAlign w:val="superscript"/>
          <w:lang w:val="fr-FR"/>
        </w:rPr>
        <w:t>er</w:t>
      </w:r>
      <w:r w:rsidRPr="00A86354">
        <w:rPr>
          <w:rFonts w:cs="Arial"/>
          <w:lang w:val="fr-FR"/>
        </w:rPr>
        <w:t> janvier 2021).</w:t>
      </w:r>
    </w:p>
    <w:p w:rsidRPr="00A86354" w:rsidR="008F0D0E" w:rsidP="008F0D0E" w:rsidRDefault="008F0D0E" w14:paraId="5696604F" w14:textId="77777777">
      <w:pPr>
        <w:ind w:left="360" w:hanging="360"/>
        <w:rPr>
          <w:rFonts w:ascii="Arial" w:hAnsi="Arial" w:cs="Arial"/>
          <w:lang w:val="fr-FR"/>
        </w:rPr>
      </w:pPr>
    </w:p>
    <w:p w:rsidRPr="00A86354" w:rsidR="00FF47AF" w:rsidP="00CE016A" w:rsidRDefault="00FF47AF" w14:paraId="75F1235B" w14:textId="77777777">
      <w:pPr>
        <w:pStyle w:val="ListParagraph"/>
        <w:numPr>
          <w:ilvl w:val="0"/>
          <w:numId w:val="1"/>
        </w:numPr>
        <w:ind w:left="0" w:firstLine="0"/>
        <w:rPr>
          <w:rFonts w:cs="Arial"/>
          <w:lang w:val="fr-FR"/>
        </w:rPr>
      </w:pPr>
      <w:r w:rsidRPr="00A86354">
        <w:rPr>
          <w:rFonts w:cs="Arial"/>
          <w:lang w:val="fr-FR"/>
        </w:rPr>
        <w:t>S’agissant du logement social, le Gouvernement précise qu’un répertoire du parc locatif social recensant les logements accessibles ou adaptés aux personnes à mobilité réduite a été réalisé et publié en 2019.</w:t>
      </w:r>
    </w:p>
    <w:p w:rsidRPr="00A86354" w:rsidR="008F0D0E" w:rsidP="008F0D0E" w:rsidRDefault="008F0D0E" w14:paraId="2CD88AED" w14:textId="77777777">
      <w:pPr>
        <w:ind w:left="360" w:hanging="360"/>
        <w:rPr>
          <w:rFonts w:ascii="Arial" w:hAnsi="Arial" w:cs="Arial"/>
          <w:lang w:val="fr-FR"/>
        </w:rPr>
      </w:pPr>
    </w:p>
    <w:p w:rsidRPr="00A86354" w:rsidR="00FF47AF" w:rsidP="00FF47AF" w:rsidRDefault="00FF47AF" w14:paraId="23A64ABF" w14:textId="77777777">
      <w:pPr>
        <w:rPr>
          <w:rFonts w:ascii="Arial" w:hAnsi="Arial" w:cs="Arial"/>
          <w:i/>
          <w:iCs/>
          <w:lang w:val="fr-FR"/>
        </w:rPr>
      </w:pPr>
      <w:r w:rsidRPr="00A86354">
        <w:rPr>
          <w:rFonts w:ascii="Arial" w:hAnsi="Arial" w:cs="Arial"/>
          <w:i/>
          <w:iCs/>
          <w:lang w:val="fr-FR"/>
        </w:rPr>
        <w:t>Accessibilité des transports publics</w:t>
      </w:r>
    </w:p>
    <w:p w:rsidRPr="00A86354" w:rsidR="008F0D0E" w:rsidP="008F0D0E" w:rsidRDefault="008F0D0E" w14:paraId="69F77EA7" w14:textId="77777777">
      <w:pPr>
        <w:ind w:left="360" w:hanging="360"/>
        <w:rPr>
          <w:rFonts w:ascii="Arial" w:hAnsi="Arial" w:cs="Arial"/>
          <w:lang w:val="fr-FR"/>
        </w:rPr>
      </w:pPr>
    </w:p>
    <w:p w:rsidRPr="00A86354" w:rsidR="00FF47AF" w:rsidP="00CE016A" w:rsidRDefault="00FF47AF" w14:paraId="1415EDE2" w14:textId="77777777">
      <w:pPr>
        <w:pStyle w:val="ListParagraph"/>
        <w:numPr>
          <w:ilvl w:val="0"/>
          <w:numId w:val="1"/>
        </w:numPr>
        <w:ind w:left="0" w:firstLine="0"/>
        <w:rPr>
          <w:rFonts w:cs="Arial"/>
          <w:lang w:val="fr-FR"/>
        </w:rPr>
      </w:pPr>
      <w:r w:rsidRPr="00A86354">
        <w:rPr>
          <w:rFonts w:cs="Arial"/>
          <w:lang w:val="fr-FR"/>
        </w:rPr>
        <w:t xml:space="preserve">Dans ce domaine, le Gouvernement indique qu’il est pleinement investi dans la recherche de solutions permettant de rendre les transports plus accessibles aux personnes handicapées. Le Comité interministériel du handicap du 25 octobre 2018 a décidé la réalisation d’un premier bilan des </w:t>
      </w:r>
      <w:bookmarkStart w:name="_Hlk115856783" w:id="23"/>
      <w:r w:rsidRPr="00A86354">
        <w:rPr>
          <w:rFonts w:cs="Arial"/>
          <w:lang w:val="fr-FR"/>
        </w:rPr>
        <w:t xml:space="preserve">schémas d’accessibilité programmée </w:t>
      </w:r>
      <w:bookmarkEnd w:id="23"/>
      <w:r w:rsidRPr="00A86354">
        <w:rPr>
          <w:rFonts w:cs="Arial"/>
          <w:lang w:val="fr-FR"/>
        </w:rPr>
        <w:t>dans les transports.</w:t>
      </w:r>
    </w:p>
    <w:p w:rsidRPr="00A86354" w:rsidR="00FF47AF" w:rsidP="00FF47AF" w:rsidRDefault="00FF47AF" w14:paraId="2853A842" w14:textId="77777777">
      <w:pPr>
        <w:pStyle w:val="ListParagraph"/>
        <w:rPr>
          <w:rFonts w:cs="Arial"/>
          <w:lang w:val="fr-FR"/>
        </w:rPr>
      </w:pPr>
    </w:p>
    <w:p w:rsidRPr="00A86354" w:rsidR="00FF47AF" w:rsidP="00CE016A" w:rsidRDefault="00FF47AF" w14:paraId="2C6AA573" w14:textId="77777777">
      <w:pPr>
        <w:pStyle w:val="ListParagraph"/>
        <w:numPr>
          <w:ilvl w:val="0"/>
          <w:numId w:val="1"/>
        </w:numPr>
        <w:ind w:left="0" w:firstLine="0"/>
        <w:rPr>
          <w:rFonts w:cs="Arial"/>
          <w:lang w:val="fr-FR"/>
        </w:rPr>
      </w:pPr>
      <w:r w:rsidRPr="00A86354">
        <w:rPr>
          <w:rFonts w:cs="Arial"/>
          <w:lang w:val="fr-FR"/>
        </w:rPr>
        <w:t xml:space="preserve">Le Gouvernement indique que la loi n° 2019-1428 du 24 décembre 2019 comporte un important volet accessibilité – qui est en cours de mise en œuvre – avec des avancées significatives et concrètes pour conforter le droit à la mobilité pour tous et améliorer les conditions de déplacement des voyageurs handicapés et à mobilité réduite, notamment : </w:t>
      </w:r>
    </w:p>
    <w:p w:rsidRPr="00A86354" w:rsidR="008F0D0E" w:rsidP="008F0D0E" w:rsidRDefault="008F0D0E" w14:paraId="7397937E" w14:textId="77777777">
      <w:pPr>
        <w:ind w:left="360" w:hanging="360"/>
        <w:rPr>
          <w:rFonts w:ascii="Arial" w:hAnsi="Arial" w:cs="Arial"/>
          <w:lang w:val="fr-FR"/>
        </w:rPr>
      </w:pPr>
    </w:p>
    <w:p w:rsidRPr="00A86354" w:rsidR="00FF47AF" w:rsidP="00CE016A" w:rsidRDefault="00FF47AF" w14:paraId="1ED17A35" w14:textId="3B2D1042">
      <w:pPr>
        <w:pStyle w:val="ListParagraph"/>
        <w:numPr>
          <w:ilvl w:val="0"/>
          <w:numId w:val="2"/>
        </w:numPr>
        <w:rPr>
          <w:rFonts w:cs="Arial"/>
          <w:sz w:val="22"/>
          <w:szCs w:val="22"/>
          <w:lang w:val="fr-FR"/>
        </w:rPr>
      </w:pPr>
      <w:r w:rsidRPr="00A86354">
        <w:rPr>
          <w:rFonts w:cs="Arial"/>
          <w:sz w:val="22"/>
          <w:szCs w:val="22"/>
          <w:lang w:val="fr-FR"/>
        </w:rPr>
        <w:t>en généralisant les tarifs préférentiels, pouvant aller jusqu’à la gratuité, pour les accompagnateurs de personnes handicapées ;</w:t>
      </w:r>
    </w:p>
    <w:p w:rsidRPr="00A86354" w:rsidR="00FF47AF" w:rsidP="00CE016A" w:rsidRDefault="00FF47AF" w14:paraId="654A0916" w14:textId="4AD586D9">
      <w:pPr>
        <w:pStyle w:val="ListParagraph"/>
        <w:numPr>
          <w:ilvl w:val="0"/>
          <w:numId w:val="2"/>
        </w:numPr>
        <w:rPr>
          <w:rFonts w:cs="Arial"/>
          <w:sz w:val="22"/>
          <w:szCs w:val="22"/>
          <w:lang w:val="fr-FR"/>
        </w:rPr>
      </w:pPr>
      <w:r w:rsidRPr="00A86354">
        <w:rPr>
          <w:rFonts w:cs="Arial"/>
          <w:sz w:val="22"/>
          <w:szCs w:val="22"/>
          <w:lang w:val="fr-FR"/>
        </w:rPr>
        <w:t xml:space="preserve">en facilitant l’accès aux services de transport des personnes à mobilité réduite ; </w:t>
      </w:r>
    </w:p>
    <w:p w:rsidRPr="00A86354" w:rsidR="00FF47AF" w:rsidP="00CE016A" w:rsidRDefault="00FF47AF" w14:paraId="644B75EB" w14:textId="7CA3089F">
      <w:pPr>
        <w:pStyle w:val="ListParagraph"/>
        <w:numPr>
          <w:ilvl w:val="0"/>
          <w:numId w:val="2"/>
        </w:numPr>
        <w:rPr>
          <w:rFonts w:cs="Arial"/>
          <w:sz w:val="22"/>
          <w:szCs w:val="22"/>
          <w:lang w:val="fr-FR"/>
        </w:rPr>
      </w:pPr>
      <w:r w:rsidRPr="00A86354">
        <w:rPr>
          <w:rFonts w:cs="Arial"/>
          <w:sz w:val="22"/>
          <w:szCs w:val="22"/>
          <w:lang w:val="fr-FR"/>
        </w:rPr>
        <w:t xml:space="preserve">en mettant à disposition les données relatives à l’accessibilité des services et des parcours, pour les réseaux de transport ainsi que la voirie, afin de faciliter les déplacements ; </w:t>
      </w:r>
    </w:p>
    <w:p w:rsidRPr="00A86354" w:rsidR="00FF47AF" w:rsidP="00CE016A" w:rsidRDefault="00FF47AF" w14:paraId="3DF7ABE9" w14:textId="158EBB25">
      <w:pPr>
        <w:pStyle w:val="ListParagraph"/>
        <w:numPr>
          <w:ilvl w:val="0"/>
          <w:numId w:val="2"/>
        </w:numPr>
        <w:rPr>
          <w:rFonts w:cs="Arial"/>
          <w:sz w:val="22"/>
          <w:szCs w:val="22"/>
          <w:lang w:val="fr-FR"/>
        </w:rPr>
      </w:pPr>
      <w:r w:rsidRPr="00A86354">
        <w:rPr>
          <w:rFonts w:cs="Arial"/>
          <w:sz w:val="22"/>
          <w:szCs w:val="22"/>
          <w:lang w:val="fr-FR"/>
        </w:rPr>
        <w:t xml:space="preserve">en garantissant l’accessibilité aux personnes à mobilité réduite de places de stationnement comportant des bornes de recharge électriques ; </w:t>
      </w:r>
    </w:p>
    <w:p w:rsidRPr="00A86354" w:rsidR="00FF47AF" w:rsidP="00CE016A" w:rsidRDefault="00FF47AF" w14:paraId="618AE6EE" w14:textId="1FAE25D4">
      <w:pPr>
        <w:pStyle w:val="ListParagraph"/>
        <w:numPr>
          <w:ilvl w:val="0"/>
          <w:numId w:val="2"/>
        </w:numPr>
        <w:rPr>
          <w:rFonts w:cs="Arial"/>
          <w:sz w:val="22"/>
          <w:szCs w:val="22"/>
          <w:lang w:val="fr-FR"/>
        </w:rPr>
      </w:pPr>
      <w:r w:rsidRPr="00A86354">
        <w:rPr>
          <w:rFonts w:cs="Arial"/>
          <w:sz w:val="22"/>
          <w:szCs w:val="22"/>
          <w:lang w:val="fr-FR"/>
        </w:rPr>
        <w:t>en mettant en place une plateforme unique de réservation des missions d’assistance en gare. Le Gouvernement ajoute que 120 millions EUR vont être mobilisés pour la mise en accessibilité des gares, dans le cadre du plan France Relance.</w:t>
      </w:r>
    </w:p>
    <w:p w:rsidRPr="00A86354" w:rsidR="008F0D0E" w:rsidP="008F0D0E" w:rsidRDefault="008F0D0E" w14:paraId="28015C14" w14:textId="77777777">
      <w:pPr>
        <w:ind w:left="360" w:hanging="360"/>
        <w:rPr>
          <w:rFonts w:ascii="Arial" w:hAnsi="Arial" w:cs="Arial"/>
          <w:lang w:val="fr-FR"/>
        </w:rPr>
      </w:pPr>
    </w:p>
    <w:p w:rsidRPr="00A86354" w:rsidR="00FF47AF" w:rsidP="00CE016A" w:rsidRDefault="00FF47AF" w14:paraId="6BFEBC34" w14:textId="77777777">
      <w:pPr>
        <w:pStyle w:val="ListParagraph"/>
        <w:numPr>
          <w:ilvl w:val="0"/>
          <w:numId w:val="1"/>
        </w:numPr>
        <w:ind w:left="0" w:firstLine="0"/>
        <w:rPr>
          <w:rFonts w:cs="Arial"/>
          <w:lang w:val="fr-FR"/>
        </w:rPr>
      </w:pPr>
      <w:r w:rsidRPr="00A86354">
        <w:rPr>
          <w:rFonts w:cs="Arial"/>
          <w:lang w:val="fr-FR"/>
        </w:rPr>
        <w:t>En conclusion, le Gouvernement souligne que de multiples mesures sont en place ou envisagées pour assurer aux personnes handicapées un accès à une vie autonome et incluse dans la société de manière globale et coordonnée, comme l’exige l’article 15§3 de la Charte, et que des politiques et stratégies sont en cours d’élaboration dans cette perspective.</w:t>
      </w:r>
    </w:p>
    <w:p w:rsidRPr="00A86354" w:rsidR="008F0D0E" w:rsidP="008F0D0E" w:rsidRDefault="008F0D0E" w14:paraId="1AC67AA2" w14:textId="77777777">
      <w:pPr>
        <w:ind w:left="360" w:hanging="360"/>
        <w:rPr>
          <w:rFonts w:ascii="Arial" w:hAnsi="Arial" w:cs="Arial"/>
          <w:lang w:val="fr-FR"/>
        </w:rPr>
      </w:pPr>
    </w:p>
    <w:p w:rsidRPr="00A86354" w:rsidR="00FF47AF" w:rsidP="00FF47AF" w:rsidRDefault="00896AC2" w14:paraId="22A59E0F" w14:textId="76EDF002">
      <w:pPr>
        <w:pStyle w:val="ListParagraph"/>
        <w:tabs>
          <w:tab w:val="left" w:pos="709"/>
          <w:tab w:val="left" w:pos="915"/>
        </w:tabs>
        <w:rPr>
          <w:rFonts w:cs="Arial"/>
          <w:lang w:val="fr-FR"/>
        </w:rPr>
      </w:pPr>
      <w:r w:rsidRPr="00A86354">
        <w:rPr>
          <w:rFonts w:cs="Arial"/>
          <w:lang w:val="fr-FR"/>
        </w:rPr>
        <w:br w:type="column"/>
      </w:r>
      <w:r w:rsidRPr="00A86354" w:rsidR="00FF47AF">
        <w:rPr>
          <w:rFonts w:eastAsia="Calibri" w:cs="Arial"/>
          <w:b/>
          <w:bCs/>
          <w:lang w:val="fr-FR"/>
        </w:rPr>
        <w:lastRenderedPageBreak/>
        <w:t>B – Appréciation du Comité</w:t>
      </w:r>
    </w:p>
    <w:p w:rsidRPr="00A86354" w:rsidR="00896AC2" w:rsidP="00896AC2" w:rsidRDefault="00896AC2" w14:paraId="71EC3382" w14:textId="77777777">
      <w:pPr>
        <w:pStyle w:val="ListParagraph"/>
        <w:rPr>
          <w:rFonts w:cs="Arial"/>
          <w:lang w:val="fr-FR"/>
        </w:rPr>
      </w:pPr>
    </w:p>
    <w:p w:rsidRPr="00A86354" w:rsidR="00FF47AF" w:rsidP="00CE016A" w:rsidRDefault="00FF47AF" w14:paraId="04EB5A3F" w14:textId="702C8E1E">
      <w:pPr>
        <w:pStyle w:val="ListParagraph"/>
        <w:numPr>
          <w:ilvl w:val="0"/>
          <w:numId w:val="1"/>
        </w:numPr>
        <w:ind w:left="0" w:firstLine="0"/>
        <w:rPr>
          <w:rFonts w:cs="Arial"/>
          <w:lang w:val="fr-FR"/>
        </w:rPr>
      </w:pPr>
      <w:r w:rsidRPr="00A86354">
        <w:rPr>
          <w:rFonts w:eastAsia="Calibri" w:cs="Arial"/>
          <w:lang w:val="fr-FR"/>
        </w:rPr>
        <w:t>Le Comité rappelle que l’article 15 de la Charte reflète et prolonge l’évolution du système de valeurs qui a eu lieu en Europe à l’égard des personnes handicapées, les notions de protection sociale et de ségrégation ayant cédé la place à une approche axée sur l’inclusion et le choix (Conclusions 2003, Introduction générale</w:t>
      </w:r>
      <w:r w:rsidRPr="00A86354" w:rsidR="000A60B5">
        <w:rPr>
          <w:rFonts w:eastAsia="Calibri" w:cs="Arial"/>
          <w:lang w:val="fr-FR"/>
        </w:rPr>
        <w:t>, p.10</w:t>
      </w:r>
      <w:r w:rsidRPr="00A86354">
        <w:rPr>
          <w:rFonts w:eastAsia="Calibri" w:cs="Arial"/>
          <w:lang w:val="fr-FR"/>
        </w:rPr>
        <w:t>).</w:t>
      </w:r>
    </w:p>
    <w:p w:rsidRPr="00A86354" w:rsidR="00FF47AF" w:rsidP="00FF47AF" w:rsidRDefault="00FF47AF" w14:paraId="53F1CD72" w14:textId="77777777">
      <w:pPr>
        <w:pStyle w:val="ListParagraph"/>
        <w:rPr>
          <w:rFonts w:cs="Arial"/>
          <w:lang w:val="fr-FR"/>
        </w:rPr>
      </w:pPr>
      <w:bookmarkStart w:name="_Hlk121221126" w:id="24"/>
    </w:p>
    <w:bookmarkEnd w:id="24"/>
    <w:p w:rsidRPr="00A86354" w:rsidR="00FF47AF" w:rsidP="00CE016A" w:rsidRDefault="00FF47AF" w14:paraId="7E636ED8" w14:textId="29A27F8B">
      <w:pPr>
        <w:pStyle w:val="ListParagraph"/>
        <w:numPr>
          <w:ilvl w:val="0"/>
          <w:numId w:val="1"/>
        </w:numPr>
        <w:ind w:left="0" w:firstLine="0"/>
        <w:rPr>
          <w:rFonts w:cs="Arial"/>
          <w:lang w:val="fr-FR"/>
        </w:rPr>
      </w:pPr>
      <w:r w:rsidRPr="00A86354">
        <w:rPr>
          <w:rFonts w:eastAsia="Calibri" w:cs="Arial"/>
          <w:lang w:val="fr-FR"/>
        </w:rPr>
        <w:t xml:space="preserve">Ainsi qu’il l’a spécifié dans </w:t>
      </w:r>
      <w:r w:rsidRPr="00A86354" w:rsidR="00896AC2">
        <w:rPr>
          <w:rFonts w:eastAsia="Calibri" w:cs="Arial"/>
          <w:lang w:val="fr-FR"/>
        </w:rPr>
        <w:t xml:space="preserve">sa décision dans l'affaire </w:t>
      </w:r>
      <w:r w:rsidRPr="00A86354">
        <w:rPr>
          <w:rFonts w:eastAsia="Calibri" w:cs="Arial"/>
          <w:lang w:val="fr-FR"/>
        </w:rPr>
        <w:t xml:space="preserve">Autisme-Europe c. </w:t>
      </w:r>
      <w:r w:rsidRPr="00A86354" w:rsidR="00E96536">
        <w:rPr>
          <w:rFonts w:eastAsia="Calibri" w:cs="Arial"/>
          <w:lang w:val="fr-FR"/>
        </w:rPr>
        <w:t>France, réclamation n° 13/2002</w:t>
      </w:r>
      <w:r w:rsidRPr="00A86354">
        <w:rPr>
          <w:rFonts w:eastAsia="Calibri" w:cs="Arial"/>
          <w:lang w:val="fr-FR"/>
        </w:rPr>
        <w:t>, l’idée sous-jacente à l’article 15 est que les personnes handicapées doivent jouir pleinement de la citoyenneté et que leurs droits essentiels sont, à ce titre, « l’autonomie, l’intégration sociale et la participation à la vie de la communauté ».</w:t>
      </w:r>
      <w:r w:rsidRPr="00A86354">
        <w:rPr>
          <w:lang w:val="fr-FR"/>
        </w:rPr>
        <w:t xml:space="preserve"> </w:t>
      </w:r>
      <w:r w:rsidRPr="00A86354" w:rsidR="000A60B5">
        <w:rPr>
          <w:rFonts w:eastAsia="Calibri" w:cs="Arial"/>
          <w:lang w:val="fr-FR"/>
        </w:rPr>
        <w:t>L</w:t>
      </w:r>
      <w:r w:rsidRPr="00A86354">
        <w:rPr>
          <w:rFonts w:eastAsia="Calibri" w:cs="Arial"/>
          <w:lang w:val="fr-FR"/>
        </w:rPr>
        <w:t xml:space="preserve">’article 15 s’applique à toutes les personnes handicapées, quelles que soient la nature et l’origine de leur handicap et indépendamment de leur âge (Autisme-Europe c. </w:t>
      </w:r>
      <w:r w:rsidRPr="00A86354" w:rsidR="00E96536">
        <w:rPr>
          <w:rFonts w:eastAsia="Calibri" w:cs="Arial"/>
          <w:lang w:val="fr-FR"/>
        </w:rPr>
        <w:t>France, réclamation n° 13/2002</w:t>
      </w:r>
      <w:r w:rsidRPr="00A86354">
        <w:rPr>
          <w:rFonts w:eastAsia="Calibri" w:cs="Arial"/>
          <w:lang w:val="fr-FR"/>
        </w:rPr>
        <w:t>,</w:t>
      </w:r>
      <w:r w:rsidRPr="00A86354">
        <w:rPr>
          <w:rFonts w:eastAsia="Calibri" w:cs="Arial"/>
          <w:i/>
          <w:iCs/>
          <w:lang w:val="fr-FR"/>
        </w:rPr>
        <w:t xml:space="preserve"> op. cit.</w:t>
      </w:r>
      <w:r w:rsidRPr="00A86354">
        <w:rPr>
          <w:rFonts w:eastAsia="Calibri" w:cs="Arial"/>
          <w:lang w:val="fr-FR"/>
        </w:rPr>
        <w:t xml:space="preserve">, </w:t>
      </w:r>
      <w:r w:rsidRPr="00A86354" w:rsidR="00896AC2">
        <w:rPr>
          <w:rFonts w:eastAsia="Calibri" w:cs="Arial"/>
          <w:lang w:val="fr-FR"/>
        </w:rPr>
        <w:t>par.</w:t>
      </w:r>
      <w:r w:rsidRPr="00A86354">
        <w:rPr>
          <w:rFonts w:eastAsia="Calibri" w:cs="Arial"/>
          <w:lang w:val="fr-FR"/>
        </w:rPr>
        <w:t> 48).</w:t>
      </w:r>
    </w:p>
    <w:p w:rsidRPr="00A86354" w:rsidR="008E4DB0" w:rsidP="008E4DB0" w:rsidRDefault="008E4DB0" w14:paraId="1469D1A5" w14:textId="77777777">
      <w:pPr>
        <w:pStyle w:val="ListParagraph"/>
        <w:rPr>
          <w:rFonts w:cs="Arial"/>
          <w:lang w:val="fr-FR"/>
        </w:rPr>
      </w:pPr>
    </w:p>
    <w:p w:rsidRPr="00A86354" w:rsidR="008E4DB0" w:rsidP="00CE016A" w:rsidRDefault="008E4DB0" w14:paraId="694DE310" w14:textId="4F27D853">
      <w:pPr>
        <w:pStyle w:val="ListParagraph"/>
        <w:numPr>
          <w:ilvl w:val="0"/>
          <w:numId w:val="1"/>
        </w:numPr>
        <w:ind w:left="0" w:firstLine="0"/>
        <w:rPr>
          <w:rFonts w:cs="Arial"/>
          <w:lang w:val="fr-FR"/>
        </w:rPr>
      </w:pPr>
      <w:r w:rsidRPr="00A86354">
        <w:rPr>
          <w:rFonts w:cs="Arial"/>
          <w:lang w:val="fr-FR"/>
        </w:rPr>
        <w:t xml:space="preserve">A cet égard, le Comité prend note de la Stratégie du Conseil de l'Europe en faveur des personnes handicapées 2017-2023 et de la Recommandation Rec(2006) du Comité des Ministres </w:t>
      </w:r>
      <w:r w:rsidRPr="00A86354" w:rsidR="00896AC2">
        <w:rPr>
          <w:rFonts w:cs="Arial"/>
          <w:lang w:val="fr-FR"/>
        </w:rPr>
        <w:t>« </w:t>
      </w:r>
      <w:r w:rsidRPr="00A86354">
        <w:rPr>
          <w:rFonts w:cs="Arial"/>
          <w:lang w:val="fr-FR"/>
        </w:rPr>
        <w:t>Plan d'action du Conseil de l'Europe pour la promotion des droits et de la pleine participation des personnes handicapées à la société : améliorer la qualité de vie des personnes handicapées en Europe 2006-2015</w:t>
      </w:r>
      <w:r w:rsidRPr="00A86354" w:rsidR="00896AC2">
        <w:rPr>
          <w:rFonts w:cs="Arial"/>
          <w:lang w:val="fr-FR"/>
        </w:rPr>
        <w:t> »</w:t>
      </w:r>
      <w:r w:rsidRPr="00A86354">
        <w:rPr>
          <w:rFonts w:cs="Arial"/>
          <w:lang w:val="fr-FR"/>
        </w:rPr>
        <w:t xml:space="preserve"> (voir </w:t>
      </w:r>
      <w:r w:rsidR="003E6AC0">
        <w:rPr>
          <w:rFonts w:cs="Arial"/>
          <w:lang w:val="fr-FR"/>
        </w:rPr>
        <w:t xml:space="preserve">par. </w:t>
      </w:r>
      <w:r w:rsidRPr="00A86354">
        <w:rPr>
          <w:rFonts w:cs="Arial"/>
          <w:lang w:val="fr-FR"/>
        </w:rPr>
        <w:t>9</w:t>
      </w:r>
      <w:r w:rsidRPr="00A86354" w:rsidR="00896AC2">
        <w:rPr>
          <w:rFonts w:cs="Arial"/>
          <w:lang w:val="fr-FR"/>
        </w:rPr>
        <w:t>4</w:t>
      </w:r>
      <w:r w:rsidR="003E6AC0">
        <w:rPr>
          <w:rFonts w:cs="Arial"/>
          <w:lang w:val="fr-FR"/>
        </w:rPr>
        <w:t xml:space="preserve"> </w:t>
      </w:r>
      <w:r w:rsidRPr="003E6AC0" w:rsidR="003E6AC0">
        <w:rPr>
          <w:rFonts w:cs="Arial"/>
          <w:lang w:val="fr-FR"/>
        </w:rPr>
        <w:t>ci-dessus</w:t>
      </w:r>
      <w:r w:rsidRPr="00A86354">
        <w:rPr>
          <w:rFonts w:cs="Arial"/>
          <w:lang w:val="fr-FR"/>
        </w:rPr>
        <w:t xml:space="preserve">), qui, avec la Convention des Nations Unies, ont marqué un </w:t>
      </w:r>
      <w:r w:rsidRPr="00A86354" w:rsidR="00896AC2">
        <w:rPr>
          <w:rFonts w:cs="Arial"/>
          <w:lang w:val="fr-FR"/>
        </w:rPr>
        <w:t>« </w:t>
      </w:r>
      <w:r w:rsidRPr="00A86354">
        <w:rPr>
          <w:rFonts w:cs="Arial"/>
          <w:lang w:val="fr-FR"/>
        </w:rPr>
        <w:t>changement de paradigme</w:t>
      </w:r>
      <w:r w:rsidRPr="00A86354" w:rsidR="00896AC2">
        <w:rPr>
          <w:rFonts w:cs="Arial"/>
          <w:lang w:val="fr-FR"/>
        </w:rPr>
        <w:t> »</w:t>
      </w:r>
      <w:r w:rsidRPr="00A86354">
        <w:rPr>
          <w:rFonts w:cs="Arial"/>
          <w:lang w:val="fr-FR"/>
        </w:rPr>
        <w:t xml:space="preserve"> en passant de l'approche traditionnelle du handicap, fondée sur la médecine, à une approche fondée sur les droits de l'homme. Ce paradigme est cohérent avec celui établi par l'article 15§3 de la Charte.</w:t>
      </w:r>
    </w:p>
    <w:p w:rsidRPr="00A86354" w:rsidR="008E4DB0" w:rsidP="00FF47AF" w:rsidRDefault="008E4DB0" w14:paraId="59C0DDBF" w14:textId="77777777">
      <w:pPr>
        <w:pStyle w:val="ListParagraph"/>
        <w:rPr>
          <w:rFonts w:cs="Arial"/>
          <w:lang w:val="fr-FR"/>
        </w:rPr>
      </w:pPr>
    </w:p>
    <w:p w:rsidRPr="00A86354" w:rsidR="00FF47AF" w:rsidP="00CE016A" w:rsidRDefault="00FF47AF" w14:paraId="6B8CCB6F" w14:textId="427D764C">
      <w:pPr>
        <w:pStyle w:val="ListParagraph"/>
        <w:numPr>
          <w:ilvl w:val="0"/>
          <w:numId w:val="1"/>
        </w:numPr>
        <w:ind w:left="0" w:firstLine="0"/>
        <w:rPr>
          <w:rFonts w:cs="Arial"/>
          <w:lang w:val="fr-FR"/>
        </w:rPr>
      </w:pPr>
      <w:r w:rsidRPr="00A86354">
        <w:rPr>
          <w:rFonts w:cs="Arial"/>
          <w:lang w:val="fr-FR"/>
        </w:rPr>
        <w:t xml:space="preserve">Pour garantir le « droit à l’autonomie, à l’intégration sociale et à la participation à la vie de la communauté », les États se sont engagés à adopter une politique cohérente en matière de handicap et à prendre des mesures proactives visant à permettre la pleine intégration et participation à la vie sociale des personnes handicapées. Ces mesures doivent avoir une base juridique claire et être coordonnées (Conclusions 2003, Italie). En outre, l’article 15§3 exige qu’il y ait une vaste législation antidiscriminatoire qui couvre aussi bien la sphère publique que la sphère privée dans des domaines tels que le logement, les transports, les télécommunications, la culture et les loisirs, ainsi que des voies de recours effectives pour ceux qui ont eu à subir un traitement contraire à la loi (Conclusions 2005, Norvège). </w:t>
      </w:r>
    </w:p>
    <w:p w:rsidRPr="00A86354" w:rsidR="008F0D0E" w:rsidP="008F0D0E" w:rsidRDefault="008F0D0E" w14:paraId="632646AD" w14:textId="77777777">
      <w:pPr>
        <w:ind w:left="360" w:hanging="360"/>
        <w:rPr>
          <w:rFonts w:ascii="Arial" w:hAnsi="Arial" w:cs="Arial"/>
          <w:lang w:val="fr-FR"/>
        </w:rPr>
      </w:pPr>
    </w:p>
    <w:p w:rsidRPr="00A86354" w:rsidR="00D82D11" w:rsidP="00CE016A" w:rsidRDefault="00D82D11" w14:paraId="081B5CD8" w14:textId="1A47FC4E">
      <w:pPr>
        <w:numPr>
          <w:ilvl w:val="0"/>
          <w:numId w:val="1"/>
        </w:numPr>
        <w:ind w:left="0" w:firstLine="0"/>
        <w:rPr>
          <w:rFonts w:ascii="Arial" w:hAnsi="Arial" w:cs="Arial"/>
          <w:lang w:val="fr-FR"/>
        </w:rPr>
      </w:pPr>
      <w:r w:rsidRPr="00A86354">
        <w:rPr>
          <w:rFonts w:ascii="Arial" w:hAnsi="Arial" w:cs="Arial"/>
          <w:lang w:val="fr-FR"/>
        </w:rPr>
        <w:t xml:space="preserve">Le Comité rappelle, </w:t>
      </w:r>
      <w:r w:rsidRPr="00A86354">
        <w:rPr>
          <w:rFonts w:ascii="Arial" w:hAnsi="Arial" w:cs="Arial"/>
          <w:color w:val="000000"/>
          <w:shd w:val="clear" w:color="auto" w:fill="FFFFFF"/>
          <w:lang w:val="fr-FR"/>
        </w:rPr>
        <w:t xml:space="preserve">comme il l'a indiqué dans </w:t>
      </w:r>
      <w:bookmarkStart w:name="_Hlk121221492" w:id="25"/>
      <w:r w:rsidRPr="00A86354">
        <w:rPr>
          <w:rFonts w:ascii="Arial" w:hAnsi="Arial" w:cs="Arial"/>
          <w:color w:val="000000"/>
          <w:shd w:val="clear" w:color="auto" w:fill="FFFFFF"/>
          <w:lang w:val="fr-FR"/>
        </w:rPr>
        <w:t xml:space="preserve">sa décision dans l'affaire </w:t>
      </w:r>
      <w:bookmarkEnd w:id="25"/>
      <w:r w:rsidRPr="00A86354">
        <w:rPr>
          <w:rFonts w:ascii="Arial" w:hAnsi="Arial" w:cs="Arial"/>
          <w:color w:val="000000"/>
          <w:shd w:val="clear" w:color="auto" w:fill="FFFFFF"/>
          <w:lang w:val="fr-FR"/>
        </w:rPr>
        <w:t>Commission internationale de juristes c. Portugal (</w:t>
      </w:r>
      <w:r w:rsidRPr="00A86354" w:rsidR="00896AC2">
        <w:rPr>
          <w:rFonts w:ascii="Arial" w:hAnsi="Arial" w:cs="Arial"/>
          <w:color w:val="000000"/>
          <w:shd w:val="clear" w:color="auto" w:fill="FFFFFF"/>
          <w:lang w:val="fr-FR"/>
        </w:rPr>
        <w:t>r</w:t>
      </w:r>
      <w:r w:rsidRPr="00A86354">
        <w:rPr>
          <w:rFonts w:ascii="Arial" w:hAnsi="Arial" w:cs="Arial"/>
          <w:color w:val="000000"/>
          <w:shd w:val="clear" w:color="auto" w:fill="FFFFFF"/>
          <w:lang w:val="fr-FR"/>
        </w:rPr>
        <w:t xml:space="preserve">éclamation n° 1/1998, décision sur le bien-fondé du 9 septembre 1999, </w:t>
      </w:r>
      <w:r w:rsidRPr="00A86354" w:rsidR="00896AC2">
        <w:rPr>
          <w:rFonts w:ascii="Arial" w:hAnsi="Arial" w:cs="Arial"/>
          <w:color w:val="000000"/>
          <w:shd w:val="clear" w:color="auto" w:fill="FFFFFF"/>
          <w:lang w:val="fr-FR"/>
        </w:rPr>
        <w:t xml:space="preserve">par. </w:t>
      </w:r>
      <w:r w:rsidRPr="00A86354">
        <w:rPr>
          <w:rFonts w:ascii="Arial" w:hAnsi="Arial" w:cs="Arial"/>
          <w:color w:val="000000"/>
          <w:shd w:val="clear" w:color="auto" w:fill="FFFFFF"/>
          <w:lang w:val="fr-FR"/>
        </w:rPr>
        <w:t>32), que la mise en œuvre de la Charte exige des Etats parties qu'ils prennent non seulement des mesures juridiques mais aussi des mesures pratiques pour donner plein effet aux droits reconnus dans la Charte.</w:t>
      </w:r>
      <w:r w:rsidRPr="00A86354">
        <w:rPr>
          <w:rFonts w:ascii="Arial" w:hAnsi="Arial" w:cs="Arial"/>
          <w:lang w:val="fr-FR"/>
        </w:rPr>
        <w:t xml:space="preserve"> En outre, lorsque la réalisation de l'un des droits en question est exceptionnellement complexe et particulièrement coûteuse à résoudre, un État partie doit prendre des mesures lui permettant d'atteindre les objectifs de la Charte dans un délai raisonnable, avec des progrès mesurables et un financement dans une mesure compatible avec le maximum utilisation des ressources disponibles (Autisme-Europe c. </w:t>
      </w:r>
      <w:r w:rsidRPr="00A86354" w:rsidR="00E96536">
        <w:rPr>
          <w:rFonts w:ascii="Arial" w:hAnsi="Arial" w:cs="Arial"/>
          <w:lang w:val="fr-FR"/>
        </w:rPr>
        <w:t>France, réclamation n° 13/2002</w:t>
      </w:r>
      <w:r w:rsidRPr="00A86354">
        <w:rPr>
          <w:rFonts w:ascii="Arial" w:hAnsi="Arial" w:cs="Arial"/>
          <w:lang w:val="fr-FR"/>
        </w:rPr>
        <w:t xml:space="preserve">, </w:t>
      </w:r>
      <w:r w:rsidRPr="00A86354">
        <w:rPr>
          <w:rFonts w:ascii="Arial" w:hAnsi="Arial" w:cs="Arial"/>
          <w:i/>
          <w:iCs/>
          <w:lang w:val="fr-FR"/>
        </w:rPr>
        <w:t xml:space="preserve">op. cit. </w:t>
      </w:r>
      <w:r w:rsidRPr="00A86354">
        <w:rPr>
          <w:rFonts w:ascii="Arial" w:hAnsi="Arial" w:cs="Arial"/>
          <w:lang w:val="fr-FR"/>
        </w:rPr>
        <w:t xml:space="preserve">, </w:t>
      </w:r>
      <w:r w:rsidRPr="00A86354" w:rsidR="00896AC2">
        <w:rPr>
          <w:rFonts w:ascii="Arial" w:hAnsi="Arial" w:cs="Arial"/>
          <w:lang w:val="fr-FR"/>
        </w:rPr>
        <w:t xml:space="preserve">par. </w:t>
      </w:r>
      <w:r w:rsidRPr="00A86354">
        <w:rPr>
          <w:rFonts w:ascii="Arial" w:hAnsi="Arial" w:cs="Arial"/>
          <w:lang w:val="fr-FR"/>
        </w:rPr>
        <w:t xml:space="preserve">53 ; AEH c. </w:t>
      </w:r>
      <w:r w:rsidRPr="00A86354" w:rsidR="00E96536">
        <w:rPr>
          <w:rFonts w:ascii="Arial" w:hAnsi="Arial" w:cs="Arial"/>
          <w:lang w:val="fr-FR"/>
        </w:rPr>
        <w:t>France, réclamation n° 81/2012</w:t>
      </w:r>
      <w:r w:rsidRPr="00A86354">
        <w:rPr>
          <w:rFonts w:ascii="Arial" w:hAnsi="Arial" w:cs="Arial"/>
          <w:lang w:val="fr-FR"/>
        </w:rPr>
        <w:t xml:space="preserve">, </w:t>
      </w:r>
      <w:r w:rsidRPr="00A86354">
        <w:rPr>
          <w:rFonts w:ascii="Arial" w:hAnsi="Arial" w:cs="Arial"/>
          <w:i/>
          <w:iCs/>
          <w:lang w:val="fr-FR"/>
        </w:rPr>
        <w:t>op. cit</w:t>
      </w:r>
      <w:r w:rsidRPr="00A86354">
        <w:rPr>
          <w:rFonts w:ascii="Arial" w:hAnsi="Arial" w:cs="Arial"/>
          <w:lang w:val="fr-FR"/>
        </w:rPr>
        <w:t xml:space="preserve">., </w:t>
      </w:r>
      <w:r w:rsidRPr="00A86354" w:rsidR="00896AC2">
        <w:rPr>
          <w:rFonts w:ascii="Arial" w:hAnsi="Arial" w:cs="Arial"/>
          <w:lang w:val="fr-FR"/>
        </w:rPr>
        <w:t>par.</w:t>
      </w:r>
      <w:r w:rsidRPr="00A86354" w:rsidR="00E627A9">
        <w:rPr>
          <w:rFonts w:ascii="Arial" w:hAnsi="Arial" w:cs="Arial"/>
          <w:lang w:val="fr-FR"/>
        </w:rPr>
        <w:t> </w:t>
      </w:r>
      <w:r w:rsidRPr="00A86354">
        <w:rPr>
          <w:rFonts w:ascii="Arial" w:hAnsi="Arial" w:cs="Arial"/>
          <w:lang w:val="fr-FR"/>
        </w:rPr>
        <w:t xml:space="preserve">79). Dans ce domaine, les Etats parties doivent être </w:t>
      </w:r>
      <w:r w:rsidRPr="00A86354">
        <w:rPr>
          <w:rFonts w:ascii="Arial" w:hAnsi="Arial" w:cs="Arial"/>
          <w:lang w:val="fr-FR"/>
        </w:rPr>
        <w:lastRenderedPageBreak/>
        <w:t xml:space="preserve">particulièrement attentifs à l'impact que leurs choix auront pour les groupes à vulnérabilité accrue ainsi que pour les autres personnes affectées dont, notamment, leurs familles, sur lesquelles pèse la charge la plus lourde en cas de défaillance. </w:t>
      </w:r>
    </w:p>
    <w:p w:rsidRPr="00A86354" w:rsidR="00D82D11" w:rsidP="00D82D11" w:rsidRDefault="00D82D11" w14:paraId="603B360C" w14:textId="77777777">
      <w:pPr>
        <w:rPr>
          <w:rFonts w:ascii="Arial" w:hAnsi="Arial" w:cs="Arial"/>
          <w:lang w:val="fr-FR"/>
        </w:rPr>
      </w:pPr>
    </w:p>
    <w:p w:rsidRPr="00A86354" w:rsidR="00D82D11" w:rsidP="00CE016A" w:rsidRDefault="00D82D11" w14:paraId="0112121E" w14:textId="1F115672">
      <w:pPr>
        <w:numPr>
          <w:ilvl w:val="0"/>
          <w:numId w:val="1"/>
        </w:numPr>
        <w:ind w:left="0" w:firstLine="0"/>
        <w:rPr>
          <w:rFonts w:ascii="Arial" w:hAnsi="Arial" w:cs="Arial"/>
          <w:lang w:val="fr-FR"/>
        </w:rPr>
      </w:pPr>
      <w:r w:rsidRPr="00A86354">
        <w:rPr>
          <w:rFonts w:ascii="Arial" w:hAnsi="Arial" w:cs="Arial"/>
          <w:lang w:val="fr-FR"/>
        </w:rPr>
        <w:t xml:space="preserve">Compte tenu du caractère multiforme de l'article 15§3 de la Charte, le Comité, afin de donner plein effet aux objectifs de l'article 15§3, a examiné, dans ses conclusions et ses décisions sur le bien-fondé dans les réclamations collectives, les différentes mesures prises ou envisagées par les Etats pour favoriser l'intégration et la participation des personnes handicapées (Conclusions 2008, Observation interprétative de l'article 15§3 ; voir, par exemple, FIDH c. </w:t>
      </w:r>
      <w:r w:rsidRPr="00A86354" w:rsidR="004E3D9E">
        <w:rPr>
          <w:rFonts w:ascii="Arial" w:hAnsi="Arial" w:cs="Arial"/>
          <w:lang w:val="fr-FR"/>
        </w:rPr>
        <w:t>Belgique, réclamation n° 75/2011</w:t>
      </w:r>
      <w:r w:rsidRPr="00A86354">
        <w:rPr>
          <w:rFonts w:ascii="Arial" w:hAnsi="Arial" w:cs="Arial"/>
          <w:lang w:val="fr-FR"/>
        </w:rPr>
        <w:t xml:space="preserve">, </w:t>
      </w:r>
      <w:r w:rsidRPr="00A86354">
        <w:rPr>
          <w:rFonts w:ascii="Arial" w:hAnsi="Arial" w:cs="Arial"/>
          <w:i/>
          <w:iCs/>
          <w:lang w:val="fr-FR"/>
        </w:rPr>
        <w:t xml:space="preserve">op. cit., </w:t>
      </w:r>
      <w:r w:rsidRPr="00A86354" w:rsidR="00896AC2">
        <w:rPr>
          <w:rFonts w:ascii="Arial" w:hAnsi="Arial" w:cs="Arial"/>
          <w:lang w:val="fr-FR"/>
        </w:rPr>
        <w:t>par. </w:t>
      </w:r>
      <w:r w:rsidRPr="00A86354">
        <w:rPr>
          <w:rFonts w:ascii="Arial" w:hAnsi="Arial" w:cs="Arial"/>
          <w:lang w:val="fr-FR"/>
        </w:rPr>
        <w:t>173). L'article 15</w:t>
      </w:r>
      <w:r w:rsidRPr="00A86354" w:rsidR="00896AC2">
        <w:rPr>
          <w:rFonts w:ascii="Arial" w:hAnsi="Arial" w:cs="Arial"/>
          <w:lang w:val="fr-FR"/>
        </w:rPr>
        <w:t>§</w:t>
      </w:r>
      <w:r w:rsidRPr="00A86354">
        <w:rPr>
          <w:rFonts w:ascii="Arial" w:hAnsi="Arial" w:cs="Arial"/>
          <w:lang w:val="fr-FR"/>
        </w:rPr>
        <w:t>3 prévoit que les Etats parties s'engagent à promouvoir la pleine intégration sociale des personnes handicapées et leur participation à la vie de la communauté. Les Etats parties doivent le faire en adoptant des mesures, y compris des aides techniques, visant à surmonter les obstacles à la communication et à la mobilité. À cet égard, le Comité a précisé que des mécanismes doivent être mis en place pour évaluer les obstacles à la communication et à la mobilité et que les mesures de soutien dont les personnes handicapées ont besoin dans ce contexte doivent être identifiées ; que les aides techniques doivent être disponibles gratuitement ou moyennant une contribution appropriée à leur coût ; et que les services de soutien, tels que l'assistance personnelle et les aides auxiliaires, doivent être disponibles gratuitement ou moyennant une contribution appropriée compte tenu des moyens du bénéficiaire (voir, Conclusions 2008, Observation interprétative sur les aides techniques et les services de soutien, article 15§3).</w:t>
      </w:r>
    </w:p>
    <w:p w:rsidRPr="00A86354" w:rsidR="00D82D11" w:rsidP="00D82D11" w:rsidRDefault="00D82D11" w14:paraId="1B76F295" w14:textId="77777777">
      <w:pPr>
        <w:rPr>
          <w:rFonts w:ascii="Arial" w:hAnsi="Arial" w:cs="Arial"/>
          <w:lang w:val="fr-FR"/>
        </w:rPr>
      </w:pPr>
    </w:p>
    <w:p w:rsidRPr="00A86354" w:rsidR="00D82D11" w:rsidP="00CE016A" w:rsidRDefault="00D82D11" w14:paraId="0ABFB0A6" w14:textId="7A2448CA">
      <w:pPr>
        <w:numPr>
          <w:ilvl w:val="0"/>
          <w:numId w:val="1"/>
        </w:numPr>
        <w:ind w:left="0" w:firstLine="0"/>
        <w:rPr>
          <w:rFonts w:ascii="Arial" w:hAnsi="Arial" w:cs="Arial"/>
          <w:lang w:val="fr-FR"/>
        </w:rPr>
      </w:pPr>
      <w:r w:rsidRPr="00A86354">
        <w:rPr>
          <w:rFonts w:ascii="Arial" w:hAnsi="Arial" w:cs="Arial"/>
          <w:lang w:val="fr-FR"/>
        </w:rPr>
        <w:t xml:space="preserve">En ce qui concerne l'assistance financière et personnelle, le Comité a considéré dans ses conclusions sur l'article 15§3, que la prévalence de la pauvreté parmi les personnes handicapées dans un Etat partie, qu'elle soit définie ou mesurée en termes monétaires ou multidimensionnels, est un indicateur important de l'efficacité des efforts de l'Etat pour garantir le droit des personnes handicapées à l'indépendance, à l'intégration sociale et à la participation à la vie de la communauté. Le Comité considère que les obligations des Etats en vertu de l'article 15§3 sont fortement liées aux mesures visant à améliorer et à éradiquer la pauvreté chez les personnes handicapées. Par conséquent, le Comité prend en compte les niveaux de pauvreté vécus par les personnes handicapées lorsqu'il examine les obligations de l'Etat au titre de l'article 15§3 de la Charte (Conclusion 2020, Andorre). </w:t>
      </w:r>
    </w:p>
    <w:p w:rsidRPr="00A86354" w:rsidR="00AB033A" w:rsidP="00AB033A" w:rsidRDefault="00AB033A" w14:paraId="1A47AD74" w14:textId="77777777">
      <w:pPr>
        <w:rPr>
          <w:rFonts w:ascii="Arial" w:hAnsi="Arial" w:cs="Arial"/>
          <w:lang w:val="fr-FR"/>
        </w:rPr>
      </w:pPr>
    </w:p>
    <w:p w:rsidRPr="00A86354" w:rsidR="00AB033A" w:rsidP="00CE016A" w:rsidRDefault="00AB033A" w14:paraId="4AD5F416" w14:textId="77777777">
      <w:pPr>
        <w:numPr>
          <w:ilvl w:val="0"/>
          <w:numId w:val="1"/>
        </w:numPr>
        <w:ind w:left="0" w:firstLine="0"/>
        <w:rPr>
          <w:rFonts w:ascii="Arial" w:hAnsi="Arial" w:cs="Arial"/>
          <w:lang w:val="fr-FR"/>
        </w:rPr>
      </w:pPr>
      <w:r w:rsidRPr="00A86354">
        <w:rPr>
          <w:rFonts w:ascii="Arial" w:hAnsi="Arial" w:cs="Arial"/>
          <w:lang w:val="fr-FR"/>
        </w:rPr>
        <w:t xml:space="preserve">L'article 15§3 impose également aux États de </w:t>
      </w:r>
      <w:r w:rsidRPr="00A86354">
        <w:rPr>
          <w:rFonts w:ascii="Arial" w:hAnsi="Arial"/>
          <w:lang w:val="fr-FR"/>
        </w:rPr>
        <w:t xml:space="preserve">promouvoir la pleine intégration sociale des personnes handicapées et leur participation à la vie de la communauté, notamment par des mesures visant à permettre l'accès aux transports, au logement, aux activités culturelles et aux loisirs. Afin d'assurer le respect de cette disposition, </w:t>
      </w:r>
      <w:r w:rsidRPr="00A86354">
        <w:rPr>
          <w:rFonts w:ascii="Arial" w:hAnsi="Arial" w:cs="Arial"/>
          <w:lang w:val="fr-FR"/>
        </w:rPr>
        <w:t xml:space="preserve">les transports publics (terrestres, ferroviaires, maritimes et aériens), tous les bâtiments publics ouverts au public, nouvellement construits ou rénovés, ainsi que les activités culturelles et de loisirs doivent être physiquement accessibles (Conclusions 2016, Lettonie). En outre, les besoins des personnes handicapées doivent être pris en compte dans les politiques de logement, notamment la construction d'une offre suffisante de logements adaptés, publics, sociaux ou privés (Conclusions 2003, Italie). Une aide financière doit être prévue pour l'adaptation des logements existants (Conclusions 2003, Italie). Enfin, les télécommunications et les </w:t>
      </w:r>
      <w:r w:rsidRPr="00A86354">
        <w:rPr>
          <w:rFonts w:ascii="Arial" w:hAnsi="Arial" w:cs="Arial"/>
          <w:lang w:val="fr-FR"/>
        </w:rPr>
        <w:lastRenderedPageBreak/>
        <w:t xml:space="preserve">nouvelles technologies de l'information doivent être accessibles et la langue des signes doit avoir un statut officiel (Conclusions 2016, Autriche). </w:t>
      </w:r>
    </w:p>
    <w:p w:rsidRPr="00A86354" w:rsidR="00AB033A" w:rsidP="00AB033A" w:rsidRDefault="00AB033A" w14:paraId="0D01CBA2" w14:textId="77777777">
      <w:pPr>
        <w:rPr>
          <w:rFonts w:ascii="Arial" w:hAnsi="Arial" w:cs="Arial"/>
          <w:lang w:val="fr-FR"/>
        </w:rPr>
      </w:pPr>
    </w:p>
    <w:p w:rsidRPr="00A86354" w:rsidR="00AB033A" w:rsidP="00CE016A" w:rsidRDefault="00AB033A" w14:paraId="1365D5C2" w14:textId="44C62887">
      <w:pPr>
        <w:numPr>
          <w:ilvl w:val="0"/>
          <w:numId w:val="1"/>
        </w:numPr>
        <w:ind w:left="0" w:firstLine="0"/>
        <w:rPr>
          <w:rFonts w:ascii="Arial" w:hAnsi="Arial" w:cs="Arial"/>
          <w:lang w:val="fr-FR"/>
        </w:rPr>
      </w:pPr>
      <w:r w:rsidRPr="00A86354">
        <w:rPr>
          <w:rFonts w:ascii="Arial" w:hAnsi="Arial" w:cs="Arial"/>
          <w:lang w:val="fr-FR"/>
        </w:rPr>
        <w:t xml:space="preserve">Le Comité se penche à présent sur les principales questions relatives à l'absence de pleine intégration sociale et de participation à la vie de la communauté des personnes handicapées, comme le garantit l'article 15§3 de la Charte.  </w:t>
      </w:r>
    </w:p>
    <w:p w:rsidRPr="00A86354" w:rsidR="00AB033A" w:rsidP="00AB033A" w:rsidRDefault="00AB033A" w14:paraId="010D8D9A" w14:textId="7FFDF627">
      <w:pPr>
        <w:rPr>
          <w:rFonts w:ascii="Arial" w:hAnsi="Arial" w:cs="Arial"/>
          <w:lang w:val="fr-FR"/>
        </w:rPr>
      </w:pPr>
    </w:p>
    <w:p w:rsidRPr="00A86354" w:rsidR="00AB033A" w:rsidP="00A86354" w:rsidRDefault="00AB033A" w14:paraId="1CFAF9EB" w14:textId="77777777">
      <w:pPr>
        <w:rPr>
          <w:rFonts w:ascii="Arial" w:hAnsi="Arial" w:cs="Arial"/>
          <w:b/>
          <w:bCs/>
          <w:lang w:val="fr-FR"/>
        </w:rPr>
      </w:pPr>
      <w:r w:rsidRPr="00A86354">
        <w:rPr>
          <w:rFonts w:ascii="Arial" w:hAnsi="Arial" w:cs="Arial"/>
          <w:b/>
          <w:bCs/>
          <w:i/>
          <w:iCs/>
          <w:lang w:val="fr-FR"/>
        </w:rPr>
        <w:t xml:space="preserve">Services sociaux d’accompagnement </w:t>
      </w:r>
    </w:p>
    <w:p w:rsidRPr="00A86354" w:rsidR="00AB033A" w:rsidP="00AB033A" w:rsidRDefault="00AB033A" w14:paraId="6D623DE2" w14:textId="77777777">
      <w:pPr>
        <w:rPr>
          <w:rFonts w:ascii="Arial" w:hAnsi="Arial" w:cs="Arial"/>
          <w:lang w:val="fr-FR"/>
        </w:rPr>
      </w:pPr>
    </w:p>
    <w:p w:rsidRPr="00A86354" w:rsidR="00F754AC" w:rsidP="00CE016A" w:rsidRDefault="00AB033A" w14:paraId="3D10FCBE" w14:textId="4FBCD02D">
      <w:pPr>
        <w:numPr>
          <w:ilvl w:val="0"/>
          <w:numId w:val="1"/>
        </w:numPr>
        <w:ind w:left="0" w:firstLine="0"/>
        <w:rPr>
          <w:rFonts w:ascii="Arial" w:hAnsi="Arial" w:cs="Arial"/>
          <w:lang w:val="fr-FR"/>
        </w:rPr>
      </w:pPr>
      <w:r w:rsidRPr="00A86354">
        <w:rPr>
          <w:rFonts w:ascii="Arial" w:hAnsi="Arial" w:cs="Arial"/>
          <w:lang w:val="fr-FR"/>
        </w:rPr>
        <w:t>L'article 15§3 exige que des services d'aide sociale et d'accompagnement existent et soient à la portée de chaque personne handicapée, dans la mesure où ils sont nécessaires pour favoriser une vie indépendante et l'inclusion dans la communauté et pour prévenir l'isolement ou la ségrégation de la communauté.</w:t>
      </w:r>
    </w:p>
    <w:p w:rsidRPr="00A86354" w:rsidR="00F754AC" w:rsidP="00F754AC" w:rsidRDefault="00F754AC" w14:paraId="198B2F4F" w14:textId="77777777">
      <w:pPr>
        <w:rPr>
          <w:rFonts w:ascii="Arial" w:hAnsi="Arial" w:cs="Arial"/>
          <w:lang w:val="fr-FR"/>
        </w:rPr>
      </w:pPr>
    </w:p>
    <w:p w:rsidRPr="00A86354" w:rsidR="00F754AC" w:rsidP="00CE016A" w:rsidRDefault="00AB033A" w14:paraId="60875480" w14:textId="4EAC7A94">
      <w:pPr>
        <w:numPr>
          <w:ilvl w:val="0"/>
          <w:numId w:val="1"/>
        </w:numPr>
        <w:ind w:left="0" w:firstLine="0"/>
        <w:rPr>
          <w:rFonts w:ascii="Arial" w:hAnsi="Arial" w:cs="Arial"/>
          <w:lang w:val="fr-FR"/>
        </w:rPr>
      </w:pPr>
      <w:r w:rsidRPr="00A86354">
        <w:rPr>
          <w:rFonts w:ascii="Arial" w:hAnsi="Arial" w:cs="Arial"/>
          <w:lang w:val="fr-FR"/>
        </w:rPr>
        <w:t xml:space="preserve">La pleine intégration sociale et la participation à la vie de la communauté, selon l’article 15§3, renvoient à l'autonomie personnelle, à la liberté de faire des choix concernant sa propre vie, et au contrôle de sa vie et de ses décisions. Pour de nombreuses personnes handicapées, l'accès à une gamme de services de soutien individualisés est une condition préalable à l'intégration et à la participation à la vie de la communauté. En outre, l'inclusion des personnes handicapées dans une communauté en tant que </w:t>
      </w:r>
      <w:r w:rsidRPr="00A86354" w:rsidR="00896AC2">
        <w:rPr>
          <w:rFonts w:ascii="Arial" w:hAnsi="Arial" w:cs="Arial"/>
          <w:lang w:val="fr-FR"/>
        </w:rPr>
        <w:t>« </w:t>
      </w:r>
      <w:r w:rsidRPr="00A86354">
        <w:rPr>
          <w:rFonts w:ascii="Arial" w:hAnsi="Arial" w:cs="Arial"/>
          <w:lang w:val="fr-FR"/>
        </w:rPr>
        <w:t>citoyens ordinaires</w:t>
      </w:r>
      <w:r w:rsidRPr="00A86354" w:rsidR="00896AC2">
        <w:rPr>
          <w:rFonts w:ascii="Arial" w:hAnsi="Arial" w:cs="Arial"/>
          <w:lang w:val="fr-FR"/>
        </w:rPr>
        <w:t> »</w:t>
      </w:r>
      <w:r w:rsidRPr="00A86354">
        <w:rPr>
          <w:rFonts w:ascii="Arial" w:hAnsi="Arial" w:cs="Arial"/>
          <w:lang w:val="fr-FR"/>
        </w:rPr>
        <w:t xml:space="preserve"> ayant des droits égaux à ceux des autres et la garantie qu'elles disposent de choix égaux pour déterminer où et avec qui elles vivent, dans un cadre communautaire, conduisent à la forte présomption que toute pratique (intentionnelle ou non) qui implique ou entraîne l'isolement des personnes handicapées n'est pas conforme à ce droit. Pour le Comité, en vertu de l'article 15§3, les Etats ont donc l'obligation de mettre à disposition des services d'appui pour assurer la pleine intégration et la participation des personnes handicapées à la vie de la communauté.   </w:t>
      </w:r>
    </w:p>
    <w:p w:rsidRPr="00A86354" w:rsidR="00F754AC" w:rsidP="00F754AC" w:rsidRDefault="00F754AC" w14:paraId="1A988496" w14:textId="77777777">
      <w:pPr>
        <w:rPr>
          <w:rFonts w:ascii="Arial" w:hAnsi="Arial" w:cs="Arial"/>
          <w:lang w:val="fr-FR"/>
        </w:rPr>
      </w:pPr>
    </w:p>
    <w:p w:rsidRPr="00A86354" w:rsidR="00F754AC" w:rsidP="00CE016A" w:rsidRDefault="00F754AC" w14:paraId="03EAF450" w14:textId="4DE66424">
      <w:pPr>
        <w:numPr>
          <w:ilvl w:val="0"/>
          <w:numId w:val="1"/>
        </w:numPr>
        <w:ind w:left="0" w:firstLine="0"/>
        <w:rPr>
          <w:rFonts w:ascii="Arial" w:hAnsi="Arial" w:cs="Arial"/>
          <w:lang w:val="fr-FR"/>
        </w:rPr>
      </w:pPr>
      <w:r w:rsidRPr="00A86354">
        <w:rPr>
          <w:rFonts w:ascii="Arial" w:hAnsi="Arial" w:cs="Arial"/>
          <w:lang w:val="fr-FR"/>
        </w:rPr>
        <w:t xml:space="preserve">En conséquence, dans ses conclusions sur l'article 15§3 (voir, par exemple, </w:t>
      </w:r>
      <w:r w:rsidRPr="00A86354" w:rsidR="00896AC2">
        <w:rPr>
          <w:rFonts w:ascii="Arial" w:hAnsi="Arial" w:cs="Arial"/>
          <w:lang w:val="fr-FR"/>
        </w:rPr>
        <w:t>les C</w:t>
      </w:r>
      <w:r w:rsidRPr="00A86354">
        <w:rPr>
          <w:rFonts w:ascii="Arial" w:hAnsi="Arial" w:cs="Arial"/>
          <w:lang w:val="fr-FR"/>
        </w:rPr>
        <w:t xml:space="preserve">onclusions 2020 concernant l’Ukraine, </w:t>
      </w:r>
      <w:r w:rsidRPr="00A86354" w:rsidR="00896AC2">
        <w:rPr>
          <w:rFonts w:ascii="Arial" w:hAnsi="Arial" w:cs="Arial"/>
          <w:lang w:val="fr-FR"/>
        </w:rPr>
        <w:t xml:space="preserve">la </w:t>
      </w:r>
      <w:r w:rsidRPr="00A86354">
        <w:rPr>
          <w:rFonts w:ascii="Arial" w:hAnsi="Arial" w:cs="Arial"/>
          <w:lang w:val="fr-FR"/>
        </w:rPr>
        <w:t xml:space="preserve">Türkiye, </w:t>
      </w:r>
      <w:r w:rsidRPr="00A86354" w:rsidR="00896AC2">
        <w:rPr>
          <w:rFonts w:ascii="Arial" w:hAnsi="Arial" w:cs="Arial"/>
          <w:lang w:val="fr-FR"/>
        </w:rPr>
        <w:t>l’</w:t>
      </w:r>
      <w:r w:rsidRPr="00A86354">
        <w:rPr>
          <w:rFonts w:ascii="Arial" w:hAnsi="Arial" w:cs="Arial"/>
          <w:lang w:val="fr-FR"/>
        </w:rPr>
        <w:t xml:space="preserve">Estonie et </w:t>
      </w:r>
      <w:r w:rsidRPr="00A86354" w:rsidR="00896AC2">
        <w:rPr>
          <w:rFonts w:ascii="Arial" w:hAnsi="Arial" w:cs="Arial"/>
          <w:lang w:val="fr-FR"/>
        </w:rPr>
        <w:t xml:space="preserve">la </w:t>
      </w:r>
      <w:r w:rsidRPr="00A86354">
        <w:rPr>
          <w:rFonts w:ascii="Arial" w:hAnsi="Arial" w:cs="Arial"/>
          <w:lang w:val="fr-FR"/>
        </w:rPr>
        <w:t xml:space="preserve">Slovénie, sous le titre « Prestation financière et service d’aide personnel »), le Comité a souligné l'importance du droit des personnes handicapées à bénéficier de services d'assistance. Il a demandé des </w:t>
      </w:r>
      <w:r w:rsidRPr="00A86354">
        <w:rPr>
          <w:rFonts w:ascii="Arial" w:hAnsi="Arial" w:cs="Arial"/>
          <w:color w:val="000000"/>
          <w:shd w:val="clear" w:color="auto" w:fill="FFFFFF"/>
          <w:lang w:val="fr-FR"/>
        </w:rPr>
        <w:t>informations sur les régimes d'assistance personnelle</w:t>
      </w:r>
      <w:r w:rsidRPr="00A86354">
        <w:rPr>
          <w:rFonts w:ascii="Arial" w:hAnsi="Arial" w:cs="Arial" w:eastAsiaTheme="minorHAnsi"/>
          <w:sz w:val="22"/>
          <w:szCs w:val="22"/>
          <w:lang w:val="fr-FR" w:eastAsia="en-US"/>
        </w:rPr>
        <w:t xml:space="preserve"> </w:t>
      </w:r>
      <w:r w:rsidRPr="00A86354">
        <w:rPr>
          <w:rFonts w:ascii="Arial" w:hAnsi="Arial" w:cs="Arial"/>
          <w:color w:val="000000"/>
          <w:shd w:val="clear" w:color="auto" w:fill="FFFFFF"/>
          <w:lang w:val="fr-FR"/>
        </w:rPr>
        <w:t xml:space="preserve">qui fournissent des services aux personnes handicapées ; le cadre juridique de ses régimes et sur leur mise en œuvre. Le Comité a également demandé des informations sur le nombre de bénéficiaires couverts par ces régimes et le budget alloué qui leur est alloué. Le Comité a également demandé si les personnes handicapées avaient le droit de choisir les services et les prestataires de services en fonction de leurs besoins individuels et de leurs préférences personnelles et quelles mesures ont été prises pour s'assurer qu'un nombre suffisant de personnel qualifié est disponible pour fournir une assistance personnelle. </w:t>
      </w:r>
    </w:p>
    <w:p w:rsidRPr="00A86354" w:rsidR="00F754AC" w:rsidP="00F754AC" w:rsidRDefault="00F754AC" w14:paraId="34863068" w14:textId="77777777">
      <w:pPr>
        <w:rPr>
          <w:rFonts w:ascii="Arial" w:hAnsi="Arial" w:cs="Arial"/>
          <w:lang w:val="fr-FR"/>
        </w:rPr>
      </w:pPr>
    </w:p>
    <w:p w:rsidRPr="00A86354" w:rsidR="009F6972" w:rsidP="00CE016A" w:rsidRDefault="00F754AC" w14:paraId="7CC85B52" w14:textId="5A3D6E87">
      <w:pPr>
        <w:numPr>
          <w:ilvl w:val="0"/>
          <w:numId w:val="1"/>
        </w:numPr>
        <w:ind w:left="0" w:firstLine="0"/>
        <w:rPr>
          <w:rFonts w:ascii="Arial" w:hAnsi="Arial" w:cs="Arial"/>
          <w:lang w:val="fr-FR"/>
        </w:rPr>
      </w:pPr>
      <w:r w:rsidRPr="00A86354">
        <w:rPr>
          <w:rFonts w:ascii="Arial" w:hAnsi="Arial" w:cs="Arial"/>
          <w:lang w:val="fr-FR"/>
        </w:rPr>
        <w:t>Le Comité prend note en particulier des allégations</w:t>
      </w:r>
      <w:r w:rsidRPr="00A86354" w:rsidR="009F6972">
        <w:rPr>
          <w:rFonts w:ascii="Arial" w:hAnsi="Arial" w:cs="Arial"/>
          <w:lang w:val="fr-FR"/>
        </w:rPr>
        <w:t xml:space="preserve"> des organisations réclamantes</w:t>
      </w:r>
      <w:r w:rsidRPr="00A86354">
        <w:rPr>
          <w:rFonts w:ascii="Arial" w:hAnsi="Arial" w:cs="Arial"/>
          <w:lang w:val="fr-FR"/>
        </w:rPr>
        <w:t xml:space="preserve"> selon lesquelles, en raison de l'absence de services de soutien suffisants et de l'inadaptation de ceux qui existent, de nombreuses personnes handicapées ont été privées de leur droit d'être intégrées dans la communauté et placées dans des institutions alors qu'elles auraient pu bénéficier d'un maintien dans leur environnement normal si elles avaient reçu le soutien social requis. Elle prend également note des départs </w:t>
      </w:r>
      <w:r w:rsidRPr="00A86354" w:rsidR="00896AC2">
        <w:rPr>
          <w:rFonts w:ascii="Arial" w:hAnsi="Arial" w:cs="Arial"/>
          <w:lang w:val="fr-FR"/>
        </w:rPr>
        <w:t>« </w:t>
      </w:r>
      <w:r w:rsidRPr="00A86354">
        <w:rPr>
          <w:rFonts w:ascii="Arial" w:hAnsi="Arial" w:cs="Arial"/>
          <w:lang w:val="fr-FR"/>
        </w:rPr>
        <w:t>involontaires</w:t>
      </w:r>
      <w:r w:rsidRPr="00A86354" w:rsidR="00896AC2">
        <w:rPr>
          <w:rFonts w:ascii="Arial" w:hAnsi="Arial" w:cs="Arial"/>
          <w:lang w:val="fr-FR"/>
        </w:rPr>
        <w:t> »</w:t>
      </w:r>
      <w:r w:rsidRPr="00A86354">
        <w:rPr>
          <w:rFonts w:ascii="Arial" w:hAnsi="Arial" w:cs="Arial"/>
          <w:lang w:val="fr-FR"/>
        </w:rPr>
        <w:t xml:space="preserve"> de personnes handicapées vers des </w:t>
      </w:r>
      <w:r w:rsidRPr="00A86354">
        <w:rPr>
          <w:rFonts w:ascii="Arial" w:hAnsi="Arial" w:cs="Arial"/>
          <w:lang w:val="fr-FR"/>
        </w:rPr>
        <w:lastRenderedPageBreak/>
        <w:t xml:space="preserve">institutions et des établissements en Belgique en raison de la capacité insuffisante des établissements médico-sociaux en France. </w:t>
      </w:r>
    </w:p>
    <w:p w:rsidR="00CF0D22" w:rsidP="00CF0D22" w:rsidRDefault="00CF0D22" w14:paraId="38FE19FB" w14:textId="77777777">
      <w:pPr>
        <w:rPr>
          <w:rFonts w:ascii="Arial" w:hAnsi="Arial" w:cs="Arial"/>
          <w:lang w:val="fr-FR"/>
        </w:rPr>
      </w:pPr>
    </w:p>
    <w:p w:rsidRPr="00A86354" w:rsidR="009F6972" w:rsidP="00CE016A" w:rsidRDefault="009F6972" w14:paraId="6B8CF44E" w14:textId="5064758A">
      <w:pPr>
        <w:numPr>
          <w:ilvl w:val="0"/>
          <w:numId w:val="1"/>
        </w:numPr>
        <w:ind w:left="0" w:firstLine="0"/>
        <w:rPr>
          <w:rFonts w:ascii="Arial" w:hAnsi="Arial" w:cs="Arial"/>
          <w:lang w:val="fr-FR"/>
        </w:rPr>
      </w:pPr>
      <w:r w:rsidRPr="00A86354">
        <w:rPr>
          <w:rFonts w:ascii="Arial" w:hAnsi="Arial" w:cs="Arial"/>
          <w:lang w:val="fr-FR"/>
        </w:rPr>
        <w:t xml:space="preserve">Le Gouvernement fait valoir que sur la base de la feuille de route adoptée par le Comité interministériel en septembre 2017, il a lancé un processus de réforme, soutenu par un budget important, pour transformer les services médico-sociaux en mettant l'accent sur l'individualisation et une approche inclusive (voir </w:t>
      </w:r>
      <w:r w:rsidR="003E6AC0">
        <w:rPr>
          <w:rFonts w:ascii="Arial" w:hAnsi="Arial" w:cs="Arial"/>
          <w:lang w:val="fr-FR"/>
        </w:rPr>
        <w:t>paragraphes</w:t>
      </w:r>
      <w:r w:rsidRPr="00A86354">
        <w:rPr>
          <w:rFonts w:ascii="Arial" w:hAnsi="Arial" w:cs="Arial"/>
          <w:lang w:val="fr-FR"/>
        </w:rPr>
        <w:t xml:space="preserve"> </w:t>
      </w:r>
      <w:r w:rsidRPr="00A86354" w:rsidR="00A57DFA">
        <w:rPr>
          <w:rFonts w:ascii="Arial" w:hAnsi="Arial" w:cs="Arial"/>
          <w:lang w:val="fr-FR"/>
        </w:rPr>
        <w:t>15</w:t>
      </w:r>
      <w:r w:rsidRPr="00A86354" w:rsidR="00896AC2">
        <w:rPr>
          <w:rFonts w:ascii="Arial" w:hAnsi="Arial" w:cs="Arial"/>
          <w:lang w:val="fr-FR"/>
        </w:rPr>
        <w:t>5</w:t>
      </w:r>
      <w:r w:rsidRPr="00A86354" w:rsidR="00A57DFA">
        <w:rPr>
          <w:rFonts w:ascii="Arial" w:hAnsi="Arial" w:cs="Arial"/>
          <w:lang w:val="fr-FR"/>
        </w:rPr>
        <w:t xml:space="preserve"> et 15</w:t>
      </w:r>
      <w:r w:rsidRPr="00A86354" w:rsidR="00896AC2">
        <w:rPr>
          <w:rFonts w:ascii="Arial" w:hAnsi="Arial" w:cs="Arial"/>
          <w:lang w:val="fr-FR"/>
        </w:rPr>
        <w:t>6</w:t>
      </w:r>
      <w:r w:rsidRPr="00A86354">
        <w:rPr>
          <w:rFonts w:ascii="Arial" w:hAnsi="Arial" w:cs="Arial"/>
          <w:lang w:val="fr-FR"/>
        </w:rPr>
        <w:t xml:space="preserve"> ci-dessus). </w:t>
      </w:r>
    </w:p>
    <w:p w:rsidRPr="00A86354" w:rsidR="00F754AC" w:rsidP="00A86354" w:rsidRDefault="00F754AC" w14:paraId="4B06B0B6" w14:textId="5AB60AB6">
      <w:pPr>
        <w:pStyle w:val="ListParagraph"/>
        <w:rPr>
          <w:rFonts w:cs="Arial"/>
          <w:lang w:val="fr-FR"/>
        </w:rPr>
      </w:pPr>
    </w:p>
    <w:p w:rsidRPr="00A86354" w:rsidR="008F0D0E" w:rsidP="00CE016A" w:rsidRDefault="00336935" w14:paraId="5ACA5D9C" w14:textId="786E46E9">
      <w:pPr>
        <w:numPr>
          <w:ilvl w:val="0"/>
          <w:numId w:val="1"/>
        </w:numPr>
        <w:ind w:left="0" w:firstLine="0"/>
        <w:rPr>
          <w:rFonts w:ascii="Arial" w:hAnsi="Arial" w:cs="Arial"/>
          <w:lang w:val="fr-FR"/>
        </w:rPr>
      </w:pPr>
      <w:r w:rsidRPr="00A86354">
        <w:rPr>
          <w:rFonts w:ascii="Arial" w:hAnsi="Arial" w:cs="Arial"/>
          <w:lang w:val="fr-FR"/>
        </w:rPr>
        <w:t xml:space="preserve">Le Comité prend également note des observations du Gouvernement selon lesquelles un plan a été mis en place par une instruction du 22 janvier 2016 afin de prévenir les départs vers des institutions en Belgique (voir </w:t>
      </w:r>
      <w:r w:rsidR="003E6AC0">
        <w:rPr>
          <w:rFonts w:ascii="Arial" w:hAnsi="Arial" w:cs="Arial"/>
          <w:lang w:val="fr-FR"/>
        </w:rPr>
        <w:t>par.</w:t>
      </w:r>
      <w:r w:rsidRPr="00A86354" w:rsidR="00896AC2">
        <w:rPr>
          <w:rFonts w:ascii="Arial" w:hAnsi="Arial" w:cs="Arial"/>
          <w:lang w:val="fr-FR"/>
        </w:rPr>
        <w:t xml:space="preserve"> </w:t>
      </w:r>
      <w:r w:rsidRPr="00A86354">
        <w:rPr>
          <w:rFonts w:ascii="Arial" w:hAnsi="Arial" w:cs="Arial"/>
          <w:lang w:val="fr-FR"/>
        </w:rPr>
        <w:t>1</w:t>
      </w:r>
      <w:r w:rsidRPr="00A86354" w:rsidR="00896AC2">
        <w:rPr>
          <w:rFonts w:ascii="Arial" w:hAnsi="Arial" w:cs="Arial"/>
          <w:lang w:val="fr-FR"/>
        </w:rPr>
        <w:t>61</w:t>
      </w:r>
      <w:r w:rsidRPr="00A86354">
        <w:rPr>
          <w:rFonts w:ascii="Arial" w:hAnsi="Arial" w:cs="Arial"/>
          <w:lang w:val="fr-FR"/>
        </w:rPr>
        <w:t xml:space="preserve"> ci-dessus).</w:t>
      </w:r>
    </w:p>
    <w:p w:rsidRPr="00A86354" w:rsidR="00336935" w:rsidP="00A86354" w:rsidRDefault="00336935" w14:paraId="660B19D1" w14:textId="721BB3AC">
      <w:pPr>
        <w:spacing w:line="259" w:lineRule="auto"/>
        <w:jc w:val="left"/>
        <w:rPr>
          <w:rFonts w:ascii="Arial" w:hAnsi="Arial" w:cs="Arial"/>
          <w:lang w:val="fr-FR"/>
        </w:rPr>
      </w:pPr>
    </w:p>
    <w:p w:rsidRPr="00A86354" w:rsidR="009118CF" w:rsidP="00CE016A" w:rsidRDefault="00336935" w14:paraId="49DA9222" w14:textId="69C527DD">
      <w:pPr>
        <w:numPr>
          <w:ilvl w:val="0"/>
          <w:numId w:val="1"/>
        </w:numPr>
        <w:ind w:left="0" w:firstLine="0"/>
        <w:rPr>
          <w:rFonts w:ascii="Arial" w:hAnsi="Arial" w:cs="Arial"/>
          <w:lang w:val="fr-FR"/>
        </w:rPr>
      </w:pPr>
      <w:r w:rsidRPr="00A86354">
        <w:rPr>
          <w:rFonts w:ascii="Arial" w:hAnsi="Arial" w:cs="Arial"/>
          <w:lang w:val="fr-FR"/>
        </w:rPr>
        <w:t>Le Comité a réitéré à plusieurs reprises que lorsqu'un droit est exceptionnellement complexe ou particulièrement coûteux à résoudre - comme c'est le cas pour l'article 15</w:t>
      </w:r>
      <w:r w:rsidRPr="00A86354" w:rsidR="002F2FE1">
        <w:rPr>
          <w:rFonts w:ascii="Arial" w:hAnsi="Arial" w:cs="Arial"/>
          <w:lang w:val="fr-FR"/>
        </w:rPr>
        <w:t>§</w:t>
      </w:r>
      <w:r w:rsidRPr="00A86354">
        <w:rPr>
          <w:rFonts w:ascii="Arial" w:hAnsi="Arial" w:cs="Arial"/>
          <w:lang w:val="fr-FR"/>
        </w:rPr>
        <w:t>3 en l'occurrence - les États parties sont tenus de prendre toutes les mesures possibles et mesurables pour réaliser les droits protégés par la Charte, en utilisant le maximum de leurs ressources disponibles avec des délais et des repères clairs. Elle réitère également les trois critères : (i) un délai raisonnable, (ii) des progrès mesurables et (iii) un financement compatible avec l'utilisation maximale des ressources disponibles auxquels doivent répondre les mesures visant à atteindre les objectifs de la Charte, lorsque cette réalisation est exceptionnellement complexe et particulièrement coûteuse à résoudre. (</w:t>
      </w:r>
      <w:r w:rsidRPr="00A86354">
        <w:rPr>
          <w:rFonts w:ascii="Arial" w:hAnsi="Arial"/>
          <w:lang w:val="fr-FR"/>
        </w:rPr>
        <w:t xml:space="preserve">Autisme-Europe c. </w:t>
      </w:r>
      <w:r w:rsidRPr="00A86354" w:rsidR="00E96536">
        <w:rPr>
          <w:rFonts w:ascii="Arial" w:hAnsi="Arial"/>
          <w:lang w:val="fr-FR"/>
        </w:rPr>
        <w:t>France, réclamation n° 13/2002</w:t>
      </w:r>
      <w:r w:rsidRPr="00A86354">
        <w:rPr>
          <w:rFonts w:ascii="Arial" w:hAnsi="Arial"/>
          <w:lang w:val="fr-FR"/>
        </w:rPr>
        <w:t xml:space="preserve">, </w:t>
      </w:r>
      <w:r w:rsidRPr="00A86354">
        <w:rPr>
          <w:rFonts w:ascii="Arial" w:hAnsi="Arial"/>
          <w:i/>
          <w:iCs/>
          <w:lang w:val="fr-FR"/>
        </w:rPr>
        <w:t xml:space="preserve">op. cit., </w:t>
      </w:r>
      <w:r w:rsidRPr="00A86354" w:rsidR="002F2FE1">
        <w:rPr>
          <w:rFonts w:ascii="Arial" w:hAnsi="Arial"/>
          <w:lang w:val="fr-FR"/>
        </w:rPr>
        <w:t xml:space="preserve">par. </w:t>
      </w:r>
      <w:r w:rsidRPr="00A86354">
        <w:rPr>
          <w:rFonts w:ascii="Arial" w:hAnsi="Arial"/>
          <w:lang w:val="fr-FR"/>
        </w:rPr>
        <w:t>53</w:t>
      </w:r>
      <w:r w:rsidRPr="00A86354">
        <w:rPr>
          <w:rFonts w:ascii="Arial" w:hAnsi="Arial"/>
          <w:i/>
          <w:iCs/>
          <w:lang w:val="fr-FR"/>
        </w:rPr>
        <w:t xml:space="preserve"> </w:t>
      </w:r>
      <w:r w:rsidRPr="00A86354">
        <w:rPr>
          <w:rFonts w:ascii="Arial" w:hAnsi="Arial"/>
          <w:lang w:val="fr-FR"/>
        </w:rPr>
        <w:t xml:space="preserve">et AEH c. </w:t>
      </w:r>
      <w:r w:rsidRPr="00A86354" w:rsidR="00E96536">
        <w:rPr>
          <w:rFonts w:ascii="Arial" w:hAnsi="Arial"/>
          <w:lang w:val="fr-FR"/>
        </w:rPr>
        <w:t>France, réclamation n° 81/2012</w:t>
      </w:r>
      <w:r w:rsidRPr="00A86354">
        <w:rPr>
          <w:rFonts w:ascii="Arial" w:hAnsi="Arial"/>
          <w:lang w:val="fr-FR"/>
        </w:rPr>
        <w:t xml:space="preserve">, </w:t>
      </w:r>
      <w:r w:rsidRPr="00A86354">
        <w:rPr>
          <w:rFonts w:ascii="Arial" w:hAnsi="Arial"/>
          <w:i/>
          <w:iCs/>
          <w:lang w:val="fr-FR"/>
        </w:rPr>
        <w:t xml:space="preserve">op. cit., </w:t>
      </w:r>
      <w:r w:rsidRPr="00A86354" w:rsidR="002F2FE1">
        <w:rPr>
          <w:rFonts w:ascii="Arial" w:hAnsi="Arial"/>
          <w:lang w:val="fr-FR"/>
        </w:rPr>
        <w:t>par.</w:t>
      </w:r>
      <w:r w:rsidRPr="00A86354" w:rsidR="002F2FE1">
        <w:rPr>
          <w:rFonts w:ascii="Arial" w:hAnsi="Arial"/>
          <w:i/>
          <w:iCs/>
          <w:lang w:val="fr-FR"/>
        </w:rPr>
        <w:t xml:space="preserve"> </w:t>
      </w:r>
      <w:r w:rsidRPr="00A86354">
        <w:rPr>
          <w:rFonts w:ascii="Arial" w:hAnsi="Arial"/>
          <w:lang w:val="fr-FR"/>
        </w:rPr>
        <w:t>79</w:t>
      </w:r>
      <w:r w:rsidRPr="00A86354">
        <w:rPr>
          <w:rFonts w:ascii="Arial" w:hAnsi="Arial"/>
          <w:i/>
          <w:iCs/>
          <w:lang w:val="fr-FR"/>
        </w:rPr>
        <w:t xml:space="preserve">). </w:t>
      </w:r>
      <w:r w:rsidRPr="00A86354">
        <w:rPr>
          <w:rFonts w:ascii="Arial" w:hAnsi="Arial" w:cs="Arial"/>
          <w:lang w:val="fr-FR"/>
        </w:rPr>
        <w:t xml:space="preserve">Compte tenu des multiples mesures prises par le Gouvernement français sur une longue période, c'est le premier critère qui revêt une importance particulière dans l'appréciation du respect par la France de l'article 15§3. </w:t>
      </w:r>
    </w:p>
    <w:p w:rsidRPr="00A86354" w:rsidR="009118CF" w:rsidP="00A86354" w:rsidRDefault="009118CF" w14:paraId="61EEC0DA" w14:textId="77777777">
      <w:pPr>
        <w:rPr>
          <w:rFonts w:ascii="Arial" w:hAnsi="Arial" w:cs="Arial"/>
          <w:lang w:val="fr-FR"/>
        </w:rPr>
      </w:pPr>
    </w:p>
    <w:p w:rsidRPr="00A86354" w:rsidR="00AA0081" w:rsidP="00CE016A" w:rsidRDefault="009118CF" w14:paraId="352C859A" w14:textId="4B3D0DDD">
      <w:pPr>
        <w:numPr>
          <w:ilvl w:val="0"/>
          <w:numId w:val="1"/>
        </w:numPr>
        <w:ind w:left="0" w:firstLine="0"/>
        <w:rPr>
          <w:rFonts w:ascii="Arial" w:hAnsi="Arial" w:cs="Arial"/>
          <w:lang w:val="fr-FR"/>
        </w:rPr>
      </w:pPr>
      <w:r w:rsidRPr="00A86354">
        <w:rPr>
          <w:rFonts w:ascii="Arial" w:hAnsi="Arial" w:cs="Arial"/>
          <w:lang w:val="fr-FR"/>
        </w:rPr>
        <w:t xml:space="preserve">Le Comité note que l'amendement </w:t>
      </w:r>
      <w:r w:rsidRPr="00A86354" w:rsidR="002F2FE1">
        <w:rPr>
          <w:rFonts w:ascii="Arial" w:hAnsi="Arial" w:cs="Arial"/>
          <w:lang w:val="fr-FR"/>
        </w:rPr>
        <w:t>« </w:t>
      </w:r>
      <w:r w:rsidRPr="00A86354">
        <w:rPr>
          <w:rFonts w:ascii="Arial" w:hAnsi="Arial" w:cs="Arial"/>
          <w:lang w:val="fr-FR"/>
        </w:rPr>
        <w:t>Creton</w:t>
      </w:r>
      <w:r w:rsidRPr="00A86354" w:rsidR="002F2FE1">
        <w:rPr>
          <w:rFonts w:ascii="Arial" w:hAnsi="Arial" w:cs="Arial"/>
          <w:lang w:val="fr-FR"/>
        </w:rPr>
        <w:t> »</w:t>
      </w:r>
      <w:r w:rsidRPr="00A86354">
        <w:rPr>
          <w:rFonts w:ascii="Arial" w:hAnsi="Arial" w:cs="Arial"/>
          <w:lang w:val="fr-FR"/>
        </w:rPr>
        <w:t xml:space="preserve"> du 13 janvier 1989 (modifiant la loi de 1975 sur l'orientation des personnes handicapées) permet aux jeunes adultes de rester dans les établissements et services pour enfants handicapés en attendant de trouver une place dans les structures pour adultes (voir, </w:t>
      </w:r>
      <w:r w:rsidR="003E6AC0">
        <w:rPr>
          <w:rFonts w:ascii="Arial" w:hAnsi="Arial" w:cs="Arial"/>
          <w:lang w:val="fr-FR"/>
        </w:rPr>
        <w:t>par.</w:t>
      </w:r>
      <w:r w:rsidRPr="00A86354" w:rsidR="002F2FE1">
        <w:rPr>
          <w:rFonts w:ascii="Arial" w:hAnsi="Arial" w:cs="Arial"/>
          <w:lang w:val="fr-FR"/>
        </w:rPr>
        <w:t xml:space="preserve"> </w:t>
      </w:r>
      <w:r w:rsidRPr="00A86354">
        <w:rPr>
          <w:rFonts w:ascii="Arial" w:hAnsi="Arial" w:cs="Arial"/>
          <w:lang w:val="fr-FR"/>
        </w:rPr>
        <w:t>6</w:t>
      </w:r>
      <w:r w:rsidRPr="00A86354" w:rsidR="002F2FE1">
        <w:rPr>
          <w:rFonts w:ascii="Arial" w:hAnsi="Arial" w:cs="Arial"/>
          <w:lang w:val="fr-FR"/>
        </w:rPr>
        <w:t>5</w:t>
      </w:r>
      <w:r w:rsidRPr="00A86354">
        <w:rPr>
          <w:rFonts w:ascii="Arial" w:hAnsi="Arial" w:cs="Arial"/>
          <w:lang w:val="fr-FR"/>
        </w:rPr>
        <w:t xml:space="preserve"> ci-dessus). Cependant, comme le souligne le Défenseur des droits dans ses observations, malgré les nombreux projets de création d'hébergements en établissements pour adultes et d'encouragement des services d'accompagnement, envisagés depuis plusieurs décennies (par exemple, le plan d'action pour la création de nouvelles places en établissements pour adultes prévu par la loi n° 97-1164 du 19 décembre 1997), un nombre important de jeunes adultes sont encore accueillis dans des établissements pour enfants, faute d'alternative. Le Comité note qu'entre 2010 et 2016 (c'est-à-dire 20 et 26 ans après l'adoption de l’amendement Creton), le nombre de jeunes adultes accueillis dans les services de l'enfance faute d'autre solution n'a pas évolué (6000).</w:t>
      </w:r>
    </w:p>
    <w:p w:rsidRPr="00A86354" w:rsidR="00AA0081" w:rsidP="00A86354" w:rsidRDefault="00AA0081" w14:paraId="2668CCBC" w14:textId="77777777">
      <w:pPr>
        <w:rPr>
          <w:rFonts w:ascii="Arial" w:hAnsi="Arial" w:cs="Arial"/>
          <w:lang w:val="fr-FR"/>
        </w:rPr>
      </w:pPr>
    </w:p>
    <w:p w:rsidRPr="00A86354" w:rsidR="00AA0081" w:rsidP="00CE016A" w:rsidRDefault="00AA0081" w14:paraId="1C44BB1D" w14:textId="77777777">
      <w:pPr>
        <w:numPr>
          <w:ilvl w:val="0"/>
          <w:numId w:val="1"/>
        </w:numPr>
        <w:ind w:left="0" w:firstLine="0"/>
        <w:rPr>
          <w:rFonts w:ascii="Arial" w:hAnsi="Arial" w:cs="Arial"/>
          <w:lang w:val="fr-FR"/>
        </w:rPr>
      </w:pPr>
      <w:r w:rsidRPr="00A86354">
        <w:rPr>
          <w:rFonts w:ascii="Arial" w:hAnsi="Arial" w:cs="Arial"/>
          <w:lang w:val="fr-FR"/>
        </w:rPr>
        <w:t xml:space="preserve">A la lumière de ces éléments, le Comité conclut qu'il ne peut être considéré que les mesures prises ou envisagées pour résoudre le problème de l'hébergement des jeunes adultes dans les services de l'enfance, faute de services disponibles, répondent au critère de "délai raisonnable".   </w:t>
      </w:r>
    </w:p>
    <w:p w:rsidRPr="00A86354" w:rsidR="00AA0081" w:rsidP="00A86354" w:rsidRDefault="00AA0081" w14:paraId="7E10C528" w14:textId="71F4A4C1">
      <w:pPr>
        <w:rPr>
          <w:rFonts w:ascii="Arial" w:hAnsi="Arial" w:cs="Arial"/>
          <w:lang w:val="fr-FR"/>
        </w:rPr>
      </w:pPr>
    </w:p>
    <w:p w:rsidRPr="00A86354" w:rsidR="00AA0081" w:rsidP="00CE016A" w:rsidRDefault="00AA0081" w14:paraId="49209D24" w14:textId="6C35A97D">
      <w:pPr>
        <w:numPr>
          <w:ilvl w:val="0"/>
          <w:numId w:val="1"/>
        </w:numPr>
        <w:ind w:left="0" w:firstLine="0"/>
        <w:rPr>
          <w:rFonts w:ascii="Arial" w:hAnsi="Arial" w:cs="Arial"/>
          <w:lang w:val="fr-FR"/>
        </w:rPr>
      </w:pPr>
      <w:r w:rsidRPr="00A86354">
        <w:rPr>
          <w:rFonts w:ascii="Arial" w:hAnsi="Arial" w:cs="Arial"/>
          <w:lang w:val="fr-FR"/>
        </w:rPr>
        <w:t xml:space="preserve">Quant aux délais de traitement des demandes de services d'accompagnement par les MDPH, les chiffres et exemples soumis par les organisations réclamantes, qui </w:t>
      </w:r>
      <w:r w:rsidRPr="00A86354">
        <w:rPr>
          <w:rFonts w:ascii="Arial" w:hAnsi="Arial" w:cs="Arial"/>
          <w:lang w:val="fr-FR"/>
        </w:rPr>
        <w:lastRenderedPageBreak/>
        <w:t xml:space="preserve">ne sont pas contestés par le Gouvernement, montrent qu'il existe des listes d'attente très longues dans les MDPH, chargées de l'attribution de la compensation et des services d'accompagnement, mais aussi dans les établissements médico-sociaux, remontant jusqu'en 2010 (voir </w:t>
      </w:r>
      <w:r w:rsidR="003E6AC0">
        <w:rPr>
          <w:rFonts w:ascii="Arial" w:hAnsi="Arial" w:cs="Arial"/>
          <w:lang w:val="fr-FR"/>
        </w:rPr>
        <w:t xml:space="preserve">par. </w:t>
      </w:r>
      <w:r w:rsidRPr="00A86354" w:rsidR="00306237">
        <w:rPr>
          <w:rFonts w:ascii="Arial" w:hAnsi="Arial" w:cs="Arial"/>
          <w:lang w:val="fr-FR"/>
        </w:rPr>
        <w:t>12</w:t>
      </w:r>
      <w:r w:rsidRPr="00A86354" w:rsidR="002F2FE1">
        <w:rPr>
          <w:rFonts w:ascii="Arial" w:hAnsi="Arial" w:cs="Arial"/>
          <w:lang w:val="fr-FR"/>
        </w:rPr>
        <w:t>5</w:t>
      </w:r>
      <w:r w:rsidRPr="003E6AC0" w:rsidR="003E6AC0">
        <w:rPr>
          <w:rFonts w:ascii="Arial" w:hAnsi="Arial" w:cs="Arial"/>
          <w:lang w:val="fr-FR"/>
        </w:rPr>
        <w:t xml:space="preserve"> ci-dessus</w:t>
      </w:r>
      <w:r w:rsidRPr="00A86354">
        <w:rPr>
          <w:rFonts w:ascii="Arial" w:hAnsi="Arial" w:cs="Arial"/>
          <w:lang w:val="fr-FR"/>
        </w:rPr>
        <w:t xml:space="preserve">). </w:t>
      </w:r>
      <w:r w:rsidRPr="00A86354" w:rsidR="000507C6">
        <w:rPr>
          <w:rFonts w:ascii="Arial" w:hAnsi="Arial" w:cs="Arial"/>
          <w:lang w:val="fr-FR"/>
        </w:rPr>
        <w:t>A</w:t>
      </w:r>
      <w:r w:rsidRPr="00A86354" w:rsidR="00306237">
        <w:rPr>
          <w:rFonts w:ascii="Arial" w:hAnsi="Arial" w:cs="Arial"/>
          <w:lang w:val="fr-FR"/>
        </w:rPr>
        <w:t xml:space="preserve"> la lumière des observations du Gouvernement,</w:t>
      </w:r>
      <w:r w:rsidRPr="00A86354" w:rsidR="000507C6">
        <w:rPr>
          <w:rFonts w:ascii="Arial" w:hAnsi="Arial" w:cs="Arial"/>
          <w:lang w:val="fr-FR"/>
        </w:rPr>
        <w:t xml:space="preserve"> le Comité</w:t>
      </w:r>
      <w:r w:rsidRPr="00A86354">
        <w:rPr>
          <w:rFonts w:ascii="Arial" w:hAnsi="Arial" w:cs="Arial"/>
          <w:lang w:val="fr-FR"/>
        </w:rPr>
        <w:t xml:space="preserve"> </w:t>
      </w:r>
      <w:r w:rsidRPr="00A86354" w:rsidR="00306237">
        <w:rPr>
          <w:rFonts w:ascii="Arial" w:hAnsi="Arial" w:cs="Arial"/>
          <w:lang w:val="fr-FR"/>
        </w:rPr>
        <w:t>constate</w:t>
      </w:r>
      <w:r w:rsidRPr="00A86354">
        <w:rPr>
          <w:rFonts w:ascii="Arial" w:hAnsi="Arial" w:cs="Arial"/>
          <w:lang w:val="fr-FR"/>
        </w:rPr>
        <w:t xml:space="preserve"> toutefois également que le Comité interministériel du handicap qui apparaît comme l'acteur principal de la définition, de la coordination et de l'évaluation des politiques du handicap en France, prévu par la loi de 2005 et mis en place par un décret en novembre 2009, a tenu sa première réunion le 25 septembre 2013, soit quatre ans après sa mise en place et huit ans après l'entrée en vigueur de la loi de 2005. La feuille de route qui a constitué le socle du processus de réforme engagé par le Gouvernement pour transformer l'offre médico-sociale selon une approche inclusive, a été adoptée lors de la réunion du 20 septembre 2017 du Comité interministériel, et le Comité n'a pas connaissance d'une feuille de route antérieure adoptée lors de réunions interministérielles précédentes. Compte tenu des périodes d'inertie imputables aux autorités, notamment entre 2005-2009 et 2009-2013, le Comité est d'avis que les mesures prises ou envisagées pour remédier à l'inadéquation entre l'offre et la demande ne répondent pas aux critères de "délai raisonnable" en la matière.  </w:t>
      </w:r>
    </w:p>
    <w:p w:rsidRPr="00A86354" w:rsidR="008F0D0E" w:rsidP="008F0D0E" w:rsidRDefault="008F0D0E" w14:paraId="6A0A6E0E" w14:textId="77777777">
      <w:pPr>
        <w:ind w:left="360" w:hanging="360"/>
        <w:rPr>
          <w:rFonts w:ascii="Arial" w:hAnsi="Arial" w:cs="Arial"/>
          <w:lang w:val="fr-FR"/>
        </w:rPr>
      </w:pPr>
    </w:p>
    <w:p w:rsidRPr="00A86354" w:rsidR="00306237" w:rsidP="00CE016A" w:rsidRDefault="00306237" w14:paraId="2A6E9A9E" w14:textId="6F5A0E4F">
      <w:pPr>
        <w:numPr>
          <w:ilvl w:val="0"/>
          <w:numId w:val="1"/>
        </w:numPr>
        <w:ind w:left="0" w:firstLine="0"/>
        <w:rPr>
          <w:rFonts w:ascii="Arial" w:hAnsi="Arial" w:cs="Arial"/>
          <w:lang w:val="fr-FR"/>
        </w:rPr>
      </w:pPr>
      <w:r w:rsidRPr="00A86354">
        <w:rPr>
          <w:rFonts w:ascii="Arial" w:hAnsi="Arial" w:cs="Arial"/>
          <w:lang w:val="fr-FR"/>
        </w:rPr>
        <w:t xml:space="preserve">En ce qui concerne la question des départs vers des établissements en Belgique faute de capacité suffisante des établissements médico-sociaux en France, le Comité note qu'il existe en France depuis plusieurs décennies une pratique consistant à accueillir des personnes handicapées dans des établissements en Belgique en raison de la carence des services d'accompagnement et de la déficience de l'offre médico-sociale en France (voir, dans le cadre de l'article 15§1 de la Charte, Autisme Europe c. France, </w:t>
      </w:r>
      <w:r w:rsidRPr="00A86354">
        <w:rPr>
          <w:rFonts w:ascii="Arial" w:hAnsi="Arial" w:cs="Arial"/>
          <w:i/>
          <w:iCs/>
          <w:lang w:val="fr-FR"/>
        </w:rPr>
        <w:t>op. cit.</w:t>
      </w:r>
      <w:r w:rsidRPr="00A86354">
        <w:rPr>
          <w:rFonts w:ascii="Arial" w:hAnsi="Arial" w:cs="Arial"/>
          <w:lang w:val="fr-FR"/>
        </w:rPr>
        <w:t xml:space="preserve">).  </w:t>
      </w:r>
    </w:p>
    <w:p w:rsidRPr="00A86354" w:rsidR="00306237" w:rsidP="00306237" w:rsidRDefault="00306237" w14:paraId="40613CAE" w14:textId="77777777">
      <w:pPr>
        <w:rPr>
          <w:rFonts w:ascii="Arial" w:hAnsi="Arial" w:cs="Arial"/>
          <w:lang w:val="fr-FR"/>
        </w:rPr>
      </w:pPr>
    </w:p>
    <w:p w:rsidRPr="00A86354" w:rsidR="00C2076B" w:rsidP="00CE016A" w:rsidRDefault="00306237" w14:paraId="65D712EA" w14:textId="52736EFD">
      <w:pPr>
        <w:numPr>
          <w:ilvl w:val="0"/>
          <w:numId w:val="1"/>
        </w:numPr>
        <w:ind w:left="0" w:firstLine="0"/>
        <w:rPr>
          <w:rFonts w:ascii="Arial" w:hAnsi="Arial" w:cs="Arial"/>
          <w:lang w:val="fr-FR"/>
        </w:rPr>
      </w:pPr>
      <w:r w:rsidRPr="00A86354">
        <w:rPr>
          <w:rFonts w:ascii="Arial" w:hAnsi="Arial" w:cs="Arial"/>
          <w:lang w:val="fr-FR"/>
        </w:rPr>
        <w:t>Le Comité prend note des différentes mesures prises ou envisagées par le Gouvernement afin de mettre fin aux départs</w:t>
      </w:r>
      <w:r w:rsidRPr="00A86354" w:rsidR="006267DD">
        <w:rPr>
          <w:rFonts w:ascii="Arial" w:hAnsi="Arial" w:cs="Arial"/>
          <w:lang w:val="fr-FR"/>
        </w:rPr>
        <w:t xml:space="preserve"> « </w:t>
      </w:r>
      <w:r w:rsidRPr="00A86354">
        <w:rPr>
          <w:rFonts w:ascii="Arial" w:hAnsi="Arial" w:cs="Arial"/>
          <w:lang w:val="fr-FR"/>
        </w:rPr>
        <w:t>involontaires</w:t>
      </w:r>
      <w:r w:rsidRPr="00A86354" w:rsidR="006267DD">
        <w:rPr>
          <w:rFonts w:ascii="Arial" w:hAnsi="Arial" w:cs="Arial"/>
          <w:lang w:val="fr-FR"/>
        </w:rPr>
        <w:t> »</w:t>
      </w:r>
      <w:r w:rsidRPr="00A86354">
        <w:rPr>
          <w:rFonts w:ascii="Arial" w:hAnsi="Arial" w:cs="Arial"/>
          <w:lang w:val="fr-FR"/>
        </w:rPr>
        <w:t xml:space="preserve"> vers les établissements en Belgique (voir, </w:t>
      </w:r>
      <w:r w:rsidR="003E6AC0">
        <w:rPr>
          <w:rFonts w:ascii="Arial" w:hAnsi="Arial" w:cs="Arial"/>
          <w:lang w:val="fr-FR"/>
        </w:rPr>
        <w:t xml:space="preserve">par. </w:t>
      </w:r>
      <w:r w:rsidRPr="00A86354" w:rsidR="00C2076B">
        <w:rPr>
          <w:rFonts w:ascii="Arial" w:hAnsi="Arial" w:cs="Arial"/>
          <w:lang w:val="fr-FR"/>
        </w:rPr>
        <w:t>1</w:t>
      </w:r>
      <w:r w:rsidRPr="00A86354" w:rsidR="006267DD">
        <w:rPr>
          <w:rFonts w:ascii="Arial" w:hAnsi="Arial" w:cs="Arial"/>
          <w:lang w:val="fr-FR"/>
        </w:rPr>
        <w:t>61</w:t>
      </w:r>
      <w:r w:rsidRPr="00A86354">
        <w:rPr>
          <w:rFonts w:ascii="Arial" w:hAnsi="Arial" w:cs="Arial"/>
          <w:lang w:val="fr-FR"/>
        </w:rPr>
        <w:t xml:space="preserve"> ci-dessus). Le Comité prend également note que le Gouvernement a publié les 12 engagements qu'il a pris lors de la Conférence nationale du handicap qui s'est tenue en février 2020, et que l'engagement n° 7 vise à </w:t>
      </w:r>
      <w:r w:rsidRPr="00A86354" w:rsidR="006267DD">
        <w:rPr>
          <w:rFonts w:ascii="Arial" w:hAnsi="Arial" w:cs="Arial"/>
          <w:lang w:val="fr-FR"/>
        </w:rPr>
        <w:t>« </w:t>
      </w:r>
      <w:r w:rsidRPr="00A86354">
        <w:rPr>
          <w:rFonts w:ascii="Arial" w:hAnsi="Arial" w:cs="Arial"/>
          <w:lang w:val="fr-FR"/>
        </w:rPr>
        <w:t xml:space="preserve">Accélérer le déploiement de solutions adaptées aux personnes ayant les besoins les plus soutenus et stopper l'exode vers la </w:t>
      </w:r>
      <w:r w:rsidRPr="00A86354" w:rsidR="006267DD">
        <w:rPr>
          <w:rFonts w:ascii="Arial" w:hAnsi="Arial" w:cs="Arial"/>
          <w:lang w:val="fr-FR"/>
        </w:rPr>
        <w:t>Belgique »</w:t>
      </w:r>
      <w:r w:rsidRPr="00A86354">
        <w:rPr>
          <w:rFonts w:ascii="Arial" w:hAnsi="Arial" w:cs="Arial"/>
          <w:lang w:val="fr-FR"/>
        </w:rPr>
        <w:t xml:space="preserve"> (Constats 2022, AEH c. </w:t>
      </w:r>
      <w:r w:rsidRPr="00A86354" w:rsidR="00E96536">
        <w:rPr>
          <w:rFonts w:ascii="Arial" w:hAnsi="Arial" w:cs="Arial"/>
          <w:lang w:val="fr-FR"/>
        </w:rPr>
        <w:t>France, réclamation n° 81/2012</w:t>
      </w:r>
      <w:r w:rsidRPr="00A86354">
        <w:rPr>
          <w:rFonts w:ascii="Arial" w:hAnsi="Arial" w:cs="Arial"/>
          <w:lang w:val="fr-FR"/>
        </w:rPr>
        <w:t xml:space="preserve">, </w:t>
      </w:r>
      <w:r w:rsidRPr="00A86354">
        <w:rPr>
          <w:rFonts w:ascii="Arial" w:hAnsi="Arial" w:cs="Arial"/>
          <w:i/>
          <w:iCs/>
          <w:lang w:val="fr-FR"/>
        </w:rPr>
        <w:t>op. cit</w:t>
      </w:r>
      <w:r w:rsidRPr="00A86354">
        <w:rPr>
          <w:rFonts w:ascii="Arial" w:hAnsi="Arial" w:cs="Arial"/>
          <w:lang w:val="fr-FR"/>
        </w:rPr>
        <w:t xml:space="preserve">.).  </w:t>
      </w:r>
    </w:p>
    <w:p w:rsidRPr="00A86354" w:rsidR="00C2076B" w:rsidP="00C2076B" w:rsidRDefault="00C2076B" w14:paraId="488ECB6E" w14:textId="77777777">
      <w:pPr>
        <w:rPr>
          <w:rFonts w:ascii="Arial" w:hAnsi="Arial" w:cs="Arial"/>
          <w:lang w:val="fr-FR"/>
        </w:rPr>
      </w:pPr>
    </w:p>
    <w:p w:rsidRPr="00A86354" w:rsidR="00C2076B" w:rsidP="00CE016A" w:rsidRDefault="00C2076B" w14:paraId="3E4BA756" w14:textId="3C396CD8">
      <w:pPr>
        <w:numPr>
          <w:ilvl w:val="0"/>
          <w:numId w:val="1"/>
        </w:numPr>
        <w:ind w:left="0" w:firstLine="0"/>
        <w:rPr>
          <w:rFonts w:ascii="Arial" w:hAnsi="Arial" w:cs="Arial"/>
          <w:lang w:val="fr-FR"/>
        </w:rPr>
      </w:pPr>
      <w:r w:rsidRPr="00A86354">
        <w:rPr>
          <w:rFonts w:ascii="Arial" w:hAnsi="Arial" w:cs="Arial"/>
          <w:lang w:val="fr-FR"/>
        </w:rPr>
        <w:t xml:space="preserve">Néanmoins, le Comité prend également acte, au vu des observations du Défenseur des droits, que les départs ont lieu sur avis des MDPH et donnent lieu à un financement par les autorités. Selon un rapport du Sénat publié en décembre 2016, le financement par les autorités à ce titre est estimé à </w:t>
      </w:r>
      <w:r w:rsidRPr="00A86354" w:rsidR="00086146">
        <w:rPr>
          <w:rFonts w:ascii="Arial" w:hAnsi="Arial" w:cs="Arial"/>
          <w:lang w:val="fr-FR"/>
        </w:rPr>
        <w:t>environ 400</w:t>
      </w:r>
      <w:r w:rsidRPr="00A86354">
        <w:rPr>
          <w:rFonts w:ascii="Arial" w:hAnsi="Arial" w:cs="Arial"/>
          <w:lang w:val="fr-FR"/>
        </w:rPr>
        <w:t xml:space="preserve"> millions </w:t>
      </w:r>
      <w:r w:rsidRPr="00A86354" w:rsidR="006267DD">
        <w:rPr>
          <w:rFonts w:ascii="Arial" w:hAnsi="Arial" w:cs="Arial"/>
          <w:lang w:val="fr-FR"/>
        </w:rPr>
        <w:t>EUR</w:t>
      </w:r>
      <w:r w:rsidRPr="00A86354" w:rsidR="00086146">
        <w:rPr>
          <w:rFonts w:ascii="Arial" w:hAnsi="Arial" w:cs="Arial"/>
          <w:lang w:val="fr-FR"/>
        </w:rPr>
        <w:t xml:space="preserve"> </w:t>
      </w:r>
      <w:r w:rsidRPr="00A86354">
        <w:rPr>
          <w:rFonts w:ascii="Arial" w:hAnsi="Arial" w:cs="Arial"/>
          <w:lang w:val="fr-FR"/>
        </w:rPr>
        <w:t xml:space="preserve">en 2015 et ce chiffre est en augmentation. </w:t>
      </w:r>
    </w:p>
    <w:p w:rsidRPr="00A86354" w:rsidR="009118CF" w:rsidP="00A86354" w:rsidRDefault="009118CF" w14:paraId="13FA037C" w14:textId="7DB38A5F">
      <w:pPr>
        <w:pStyle w:val="ListParagraph"/>
        <w:rPr>
          <w:rFonts w:cs="Arial"/>
          <w:lang w:val="fr-FR"/>
        </w:rPr>
      </w:pPr>
    </w:p>
    <w:p w:rsidRPr="00A86354" w:rsidR="00E31609" w:rsidP="00CE016A" w:rsidRDefault="00E31609" w14:paraId="5290FB16" w14:textId="72F848BF">
      <w:pPr>
        <w:numPr>
          <w:ilvl w:val="0"/>
          <w:numId w:val="1"/>
        </w:numPr>
        <w:ind w:left="0" w:firstLine="0"/>
        <w:rPr>
          <w:rFonts w:ascii="Arial" w:hAnsi="Arial" w:cs="Arial"/>
          <w:lang w:val="fr-FR"/>
        </w:rPr>
      </w:pPr>
      <w:r w:rsidRPr="00A86354">
        <w:rPr>
          <w:rFonts w:ascii="Arial" w:hAnsi="Arial" w:cs="Arial"/>
          <w:lang w:val="fr-FR"/>
        </w:rPr>
        <w:t xml:space="preserve">Le Comité considère que les mesures prises ou envisagées jusqu'à présent pour éviter que les personnes handicapées aient à être hébergées dans des établissements en Belgique en raison des carences des services d'accompagnement social et des déficiences de l'offre médico-sociale en France ne répondent pas au critère de </w:t>
      </w:r>
      <w:r w:rsidRPr="00A86354" w:rsidR="006267DD">
        <w:rPr>
          <w:rFonts w:ascii="Arial" w:hAnsi="Arial" w:cs="Arial"/>
          <w:lang w:val="fr-FR"/>
        </w:rPr>
        <w:t>« </w:t>
      </w:r>
      <w:r w:rsidRPr="00A86354">
        <w:rPr>
          <w:rFonts w:ascii="Arial" w:hAnsi="Arial" w:cs="Arial"/>
          <w:lang w:val="fr-FR"/>
        </w:rPr>
        <w:t>délai raisonnable</w:t>
      </w:r>
      <w:r w:rsidRPr="00A86354" w:rsidR="006267DD">
        <w:rPr>
          <w:rFonts w:ascii="Arial" w:hAnsi="Arial" w:cs="Arial"/>
          <w:lang w:val="fr-FR"/>
        </w:rPr>
        <w:t> »</w:t>
      </w:r>
      <w:r w:rsidRPr="00A86354">
        <w:rPr>
          <w:rFonts w:ascii="Arial" w:hAnsi="Arial" w:cs="Arial"/>
          <w:lang w:val="fr-FR"/>
        </w:rPr>
        <w:t>.</w:t>
      </w:r>
    </w:p>
    <w:p w:rsidRPr="00A86354" w:rsidR="008F0D0E" w:rsidP="00A86354" w:rsidRDefault="008F0D0E" w14:paraId="40C00CAC" w14:textId="77777777">
      <w:pPr>
        <w:ind w:left="360" w:hanging="360"/>
        <w:rPr>
          <w:rFonts w:ascii="Arial" w:hAnsi="Arial" w:cs="Arial"/>
          <w:lang w:val="fr-FR"/>
        </w:rPr>
      </w:pPr>
    </w:p>
    <w:p w:rsidRPr="00A86354" w:rsidR="00FF47AF" w:rsidP="00CE016A" w:rsidRDefault="00E31609" w14:paraId="5C2710F9" w14:textId="3A0BC6D8">
      <w:pPr>
        <w:numPr>
          <w:ilvl w:val="0"/>
          <w:numId w:val="1"/>
        </w:numPr>
        <w:spacing w:after="160"/>
        <w:ind w:left="0" w:firstLine="0"/>
        <w:rPr>
          <w:rFonts w:ascii="Arial" w:hAnsi="Arial" w:cs="Arial"/>
          <w:lang w:val="fr-FR"/>
        </w:rPr>
      </w:pPr>
      <w:r w:rsidRPr="00A86354">
        <w:rPr>
          <w:rFonts w:ascii="Arial" w:hAnsi="Arial" w:cs="Arial"/>
          <w:lang w:val="fr-FR"/>
        </w:rPr>
        <w:t xml:space="preserve">Le Comité </w:t>
      </w:r>
      <w:r w:rsidRPr="00A86354" w:rsidR="006267DD">
        <w:rPr>
          <w:rFonts w:ascii="Arial" w:hAnsi="Arial" w:cs="Arial"/>
          <w:lang w:val="fr-FR"/>
        </w:rPr>
        <w:t xml:space="preserve">dit </w:t>
      </w:r>
      <w:r w:rsidRPr="00A86354">
        <w:rPr>
          <w:rFonts w:ascii="Arial" w:hAnsi="Arial" w:cs="Arial"/>
          <w:lang w:val="fr-FR"/>
        </w:rPr>
        <w:t xml:space="preserve">qu'il y a violation de l'article 15§3 de la Charte en raison du manquement des autorités à adopter des mesures efficaces pour remédier aux </w:t>
      </w:r>
      <w:r w:rsidRPr="00A86354">
        <w:rPr>
          <w:rFonts w:ascii="Arial" w:hAnsi="Arial" w:cs="Arial"/>
          <w:lang w:val="fr-FR"/>
        </w:rPr>
        <w:lastRenderedPageBreak/>
        <w:t xml:space="preserve">problèmes de longue date liés à l'accès insuffisant aux services d'aide sociale dans un délai raisonnable. </w:t>
      </w:r>
    </w:p>
    <w:p w:rsidRPr="00A86354" w:rsidR="00FF47AF" w:rsidP="007E01BA" w:rsidRDefault="00FF47AF" w14:paraId="61C317AB" w14:textId="77777777">
      <w:pPr>
        <w:keepNext/>
        <w:keepLines/>
        <w:rPr>
          <w:rFonts w:ascii="Arial" w:hAnsi="Arial" w:cs="Arial"/>
          <w:b/>
          <w:bCs/>
          <w:i/>
          <w:iCs/>
          <w:lang w:val="fr-FR"/>
        </w:rPr>
      </w:pPr>
      <w:r w:rsidRPr="00A86354">
        <w:rPr>
          <w:rFonts w:ascii="Arial" w:hAnsi="Arial" w:cs="Arial"/>
          <w:b/>
          <w:bCs/>
          <w:i/>
          <w:iCs/>
          <w:lang w:val="fr-FR"/>
        </w:rPr>
        <w:t>Aide financière</w:t>
      </w:r>
    </w:p>
    <w:p w:rsidRPr="00A86354" w:rsidR="00FF47AF" w:rsidP="007E01BA" w:rsidRDefault="00FF47AF" w14:paraId="146FD497" w14:textId="77777777">
      <w:pPr>
        <w:pStyle w:val="ListParagraph"/>
        <w:keepNext/>
        <w:keepLines/>
        <w:rPr>
          <w:rFonts w:cs="Arial"/>
          <w:lang w:val="fr-FR"/>
        </w:rPr>
      </w:pPr>
    </w:p>
    <w:p w:rsidRPr="00A86354" w:rsidR="00FF47AF" w:rsidP="00CE016A" w:rsidRDefault="00FF47AF" w14:paraId="213B53B0" w14:textId="77777777">
      <w:pPr>
        <w:pStyle w:val="ListParagraph"/>
        <w:keepNext/>
        <w:keepLines/>
        <w:numPr>
          <w:ilvl w:val="0"/>
          <w:numId w:val="1"/>
        </w:numPr>
        <w:ind w:left="0" w:firstLine="0"/>
        <w:rPr>
          <w:rFonts w:cs="Arial"/>
          <w:color w:val="000000"/>
          <w:lang w:val="fr-FR" w:eastAsia="en-GB"/>
        </w:rPr>
      </w:pPr>
      <w:r w:rsidRPr="00A86354">
        <w:rPr>
          <w:rFonts w:cs="Arial"/>
          <w:color w:val="000000"/>
          <w:lang w:val="fr-FR" w:eastAsia="en-GB"/>
        </w:rPr>
        <w:t xml:space="preserve">Le Comité rappelle que la pauvreté qui touche les personnes handicapées dans un État partie, qu’elle soit définie ou mesurée en termes monétaires ou dans ses dimensions multiples, est un indicateur important de l’efficacité des efforts déployés par cet État pour assurer aux personnes handicapées l’exercice de leur droit à l’autonomie, à l’intégration sociale et à la participation à la vie sociale (Conclusions 2020, Andorre, article 15§3). </w:t>
      </w:r>
    </w:p>
    <w:p w:rsidRPr="00A86354" w:rsidR="008F0D0E" w:rsidP="008F0D0E" w:rsidRDefault="008F0D0E" w14:paraId="32C84537" w14:textId="77777777">
      <w:pPr>
        <w:ind w:left="360" w:hanging="360"/>
        <w:rPr>
          <w:rFonts w:ascii="Arial" w:hAnsi="Arial" w:cs="Arial"/>
          <w:lang w:val="fr-FR"/>
        </w:rPr>
      </w:pPr>
    </w:p>
    <w:p w:rsidRPr="00A86354" w:rsidR="00FF47AF" w:rsidP="00CE016A" w:rsidRDefault="00FF47AF" w14:paraId="19010365" w14:textId="77777777">
      <w:pPr>
        <w:pStyle w:val="ListParagraph"/>
        <w:numPr>
          <w:ilvl w:val="0"/>
          <w:numId w:val="1"/>
        </w:numPr>
        <w:ind w:left="0" w:firstLine="0"/>
        <w:rPr>
          <w:rFonts w:cs="Arial"/>
          <w:lang w:val="fr-FR"/>
        </w:rPr>
      </w:pPr>
      <w:r w:rsidRPr="00A86354">
        <w:rPr>
          <w:rFonts w:cs="Arial"/>
          <w:lang w:val="fr-FR"/>
        </w:rPr>
        <w:t>Le Comité insiste sur l’importance de l’aide financière (compensation, prestations de sécurité sociale, allocations, régimes de retraite ou autres incitations) dans l’accessibilité d’une gamme de services d’accompagnement personnalisés (</w:t>
      </w:r>
      <w:bookmarkStart w:name="_Hlk115857151" w:id="26"/>
      <w:r w:rsidRPr="00A86354">
        <w:rPr>
          <w:color w:val="000000"/>
          <w:lang w:val="fr-FR"/>
        </w:rPr>
        <w:t>assistance à domicile</w:t>
      </w:r>
      <w:r w:rsidRPr="00A86354">
        <w:rPr>
          <w:rFonts w:cs="Arial"/>
          <w:lang w:val="fr-FR"/>
        </w:rPr>
        <w:t>, autogestion de la santé</w:t>
      </w:r>
      <w:bookmarkEnd w:id="26"/>
      <w:r w:rsidRPr="00A86354">
        <w:rPr>
          <w:rFonts w:cs="Arial"/>
          <w:lang w:val="fr-FR"/>
        </w:rPr>
        <w:t>, etc.), y compris des aides techniques, qui sont nécessaires pour accompagner l’autonomie de vie et l’inclusion dans la société et pour prévenir l’isolement et la ségrégation. Par conséquent, il étudie également, dans le cadre de l’</w:t>
      </w:r>
      <w:r w:rsidRPr="00A86354">
        <w:rPr>
          <w:rFonts w:cs="Arial"/>
          <w:color w:val="000000"/>
          <w:lang w:val="fr-FR" w:eastAsia="en-GB"/>
        </w:rPr>
        <w:t>article 15§3</w:t>
      </w:r>
      <w:r w:rsidRPr="00A86354">
        <w:rPr>
          <w:rFonts w:cs="Arial"/>
          <w:lang w:val="fr-FR"/>
        </w:rPr>
        <w:t xml:space="preserve">, les informations concernant les diverses allocations et prestations auxquelles les personnes handicapées peuvent avoir accès au titre de différents régimes </w:t>
      </w:r>
      <w:r w:rsidRPr="00A86354">
        <w:rPr>
          <w:rFonts w:cs="Arial"/>
          <w:color w:val="000000"/>
          <w:lang w:val="fr-FR" w:eastAsia="en-GB"/>
        </w:rPr>
        <w:t>(Conclusions 2020, Slovénie, article 15§3). Il note que dans les Conclusions 2008 et 2012 relatives à l’article 15§3 et concernant la France,</w:t>
      </w:r>
      <w:r w:rsidRPr="00A86354">
        <w:rPr>
          <w:lang w:val="fr-FR"/>
        </w:rPr>
        <w:t xml:space="preserve"> il </w:t>
      </w:r>
      <w:r w:rsidRPr="00A86354">
        <w:rPr>
          <w:rFonts w:cs="Arial"/>
          <w:color w:val="000000"/>
          <w:lang w:val="fr-FR" w:eastAsia="en-GB"/>
        </w:rPr>
        <w:t>a demandé des informations sur la participation financière que devraient supporter les personnes handicapées pour certaines aides techniques. Dans les Conclusions 2016 (article 15§3, France, section « Formes d’assistance économique accroissant l’autonomie des personnes handicapées »), en l’absence de réponse à cette question, le Comité a conclu qu’il n’était pas établi que la situation en France soit conforme à la Charte sur ce point.</w:t>
      </w:r>
    </w:p>
    <w:p w:rsidRPr="00A86354" w:rsidR="00FF47AF" w:rsidP="00FF47AF" w:rsidRDefault="00FF47AF" w14:paraId="56EBF0C3" w14:textId="77777777">
      <w:pPr>
        <w:pStyle w:val="ListParagraph"/>
        <w:rPr>
          <w:rFonts w:cs="Arial"/>
          <w:lang w:val="fr-FR"/>
        </w:rPr>
      </w:pPr>
    </w:p>
    <w:p w:rsidRPr="00A86354" w:rsidR="00FF47AF" w:rsidP="00CE016A" w:rsidRDefault="00FF47AF" w14:paraId="34805616" w14:textId="2CCA12D3">
      <w:pPr>
        <w:pStyle w:val="ListParagraph"/>
        <w:numPr>
          <w:ilvl w:val="0"/>
          <w:numId w:val="1"/>
        </w:numPr>
        <w:ind w:left="0" w:firstLine="0"/>
        <w:rPr>
          <w:rFonts w:cs="Arial"/>
          <w:lang w:val="fr-FR"/>
        </w:rPr>
      </w:pPr>
      <w:r w:rsidRPr="00A86354">
        <w:rPr>
          <w:rFonts w:cs="Arial"/>
          <w:lang w:val="fr-FR"/>
        </w:rPr>
        <w:t>Le Comité considère par ailleurs que les « mesures » prévues à l’article 15§3 devraient être propres à chaque situation et centrées sur la personne. En matière d’aide financière, cette approche exige que le processus de sélection et d’organisation des services qui seront pris en charge ne repose pas sur un</w:t>
      </w:r>
      <w:r w:rsidRPr="00A86354">
        <w:rPr>
          <w:lang w:val="fr-FR"/>
        </w:rPr>
        <w:t xml:space="preserve"> </w:t>
      </w:r>
      <w:r w:rsidRPr="00A86354">
        <w:rPr>
          <w:rFonts w:cs="Arial"/>
          <w:lang w:val="fr-FR"/>
        </w:rPr>
        <w:t>modèle unique mais permette au contraire de recenser les préférences de la personne quant à sa vie professionnelle, ses loisirs, ses besoins médicaux, etc.</w:t>
      </w:r>
    </w:p>
    <w:p w:rsidRPr="00A86354" w:rsidR="008F0D0E" w:rsidP="008F0D0E" w:rsidRDefault="008F0D0E" w14:paraId="5A90F5AC" w14:textId="77777777">
      <w:pPr>
        <w:ind w:left="360" w:hanging="360"/>
        <w:rPr>
          <w:rFonts w:ascii="Arial" w:hAnsi="Arial" w:cs="Arial"/>
          <w:lang w:val="fr-FR"/>
        </w:rPr>
      </w:pPr>
    </w:p>
    <w:p w:rsidRPr="00A86354" w:rsidR="00FF47AF" w:rsidP="00CE016A" w:rsidRDefault="00FF47AF" w14:paraId="76D27F2B" w14:textId="77777777">
      <w:pPr>
        <w:pStyle w:val="ListParagraph"/>
        <w:numPr>
          <w:ilvl w:val="0"/>
          <w:numId w:val="1"/>
        </w:numPr>
        <w:ind w:left="0" w:firstLine="0"/>
        <w:rPr>
          <w:rFonts w:cs="Arial"/>
          <w:lang w:val="fr-FR"/>
        </w:rPr>
      </w:pPr>
      <w:r w:rsidRPr="00A86354">
        <w:rPr>
          <w:rFonts w:cs="Arial"/>
          <w:lang w:val="fr-FR"/>
        </w:rPr>
        <w:t>Le Comité note que les griefs d’EDF et d’Inclusion Europe portant sur l’aide financière visant à faciliter l’accès à une gamme de services d’accompagnement sont surtout liés à la rigidité des critères d’éligibilité et des définitions des actes couverts par la prestation de compensation, qui figurent dans les dispositions législatives et réglementaires, ainsi qu’aux pratiques d’évaluation problématiques.</w:t>
      </w:r>
    </w:p>
    <w:p w:rsidRPr="00A86354" w:rsidR="008F0D0E" w:rsidP="008F0D0E" w:rsidRDefault="008F0D0E" w14:paraId="18939367" w14:textId="77777777">
      <w:pPr>
        <w:ind w:left="360" w:hanging="360"/>
        <w:rPr>
          <w:rFonts w:ascii="Arial" w:hAnsi="Arial" w:cs="Arial"/>
          <w:lang w:val="fr-FR"/>
        </w:rPr>
      </w:pPr>
    </w:p>
    <w:p w:rsidRPr="00A86354" w:rsidR="00FF47AF" w:rsidP="00CE016A" w:rsidRDefault="00FF47AF" w14:paraId="4958A566" w14:textId="77777777">
      <w:pPr>
        <w:pStyle w:val="ListParagraph"/>
        <w:numPr>
          <w:ilvl w:val="0"/>
          <w:numId w:val="1"/>
        </w:numPr>
        <w:ind w:left="0" w:firstLine="0"/>
        <w:rPr>
          <w:rFonts w:cs="Arial"/>
          <w:lang w:val="fr-FR"/>
        </w:rPr>
      </w:pPr>
      <w:r w:rsidRPr="00A86354">
        <w:rPr>
          <w:rFonts w:cs="Arial"/>
          <w:lang w:val="fr-FR"/>
        </w:rPr>
        <w:t xml:space="preserve">Le Comité renvoie à plusieurs rapports nationaux concernant la prestation de compensation du handicap en France (PCH), en particulier au rapport de 2016 de l’IGAS intitulé « Évolution de la prestation de compensation du handicap (PCH) », auquel font référence tant le Gouvernement que les organisations réclamantes dans leurs observations respectives. </w:t>
      </w:r>
    </w:p>
    <w:p w:rsidRPr="00A86354" w:rsidR="008F0D0E" w:rsidP="008F0D0E" w:rsidRDefault="008F0D0E" w14:paraId="143B8288" w14:textId="77777777">
      <w:pPr>
        <w:ind w:left="360" w:hanging="360"/>
        <w:rPr>
          <w:rFonts w:ascii="Arial" w:hAnsi="Arial" w:cs="Arial"/>
          <w:lang w:val="fr-FR"/>
        </w:rPr>
      </w:pPr>
    </w:p>
    <w:p w:rsidRPr="00A86354" w:rsidR="00FF47AF" w:rsidP="00CE016A" w:rsidRDefault="00FF47AF" w14:paraId="4331BD22" w14:textId="5F40F41B">
      <w:pPr>
        <w:pStyle w:val="ListParagraph"/>
        <w:numPr>
          <w:ilvl w:val="0"/>
          <w:numId w:val="1"/>
        </w:numPr>
        <w:ind w:left="0" w:firstLine="0"/>
        <w:rPr>
          <w:rFonts w:cs="Arial"/>
          <w:lang w:val="fr-FR"/>
        </w:rPr>
      </w:pPr>
      <w:r w:rsidRPr="00A86354">
        <w:rPr>
          <w:rFonts w:cs="Arial"/>
          <w:lang w:val="fr-FR"/>
        </w:rPr>
        <w:t xml:space="preserve"> Le Comité constate, à la lumière de ces rapports et des observations des parties, les déficiences de mise en œuvre de la PCH et les difficultés d’accès à cette prestation pour certains types de handicap et pour certains types de besoins qui ne </w:t>
      </w:r>
      <w:r w:rsidRPr="00A86354">
        <w:rPr>
          <w:rFonts w:cs="Arial"/>
          <w:lang w:val="fr-FR"/>
        </w:rPr>
        <w:lastRenderedPageBreak/>
        <w:t xml:space="preserve">sont pas couverts, dans la réglementation, par la PCH. Tout d’abord, au regard des critères d’éligibilité prévus dans la loi, seules les personnes présentant une difficulté absolue pour la réalisation d’un des actes ou une difficulté grave pour la réalisation d’au moins deux des actes dont la liste exhaustive figure à l’annexe 2-5 </w:t>
      </w:r>
      <w:r w:rsidRPr="00A86354" w:rsidR="006267DD">
        <w:rPr>
          <w:rFonts w:cs="Arial"/>
          <w:lang w:val="fr-FR"/>
        </w:rPr>
        <w:t xml:space="preserve">du code de l’action sociale et des familles </w:t>
      </w:r>
      <w:r w:rsidRPr="00A86354">
        <w:rPr>
          <w:rFonts w:cs="Arial"/>
          <w:lang w:val="fr-FR"/>
        </w:rPr>
        <w:t>peuvent prétendre à la PCH.</w:t>
      </w:r>
      <w:r w:rsidRPr="00A86354">
        <w:rPr>
          <w:lang w:val="fr-FR"/>
        </w:rPr>
        <w:t xml:space="preserve"> </w:t>
      </w:r>
      <w:r w:rsidRPr="00A86354">
        <w:rPr>
          <w:rFonts w:cs="Arial"/>
          <w:lang w:val="fr-FR"/>
        </w:rPr>
        <w:t>Bien que cette méthode de sélection tenant compte de la gravité du handicap ne constitue pas en soi une violation des dispositions de la Charte, l’inflexibilité qui caractérise sa mise en œuvre est susceptible d’entraver le droit à la PCH pour certains types de handicap spécifique. Les organisations réclamantes et le rapport de 2016 de l’IGAS soulignent à cet égard les difficultés d’accès à la prestation de compensation en cas de déficiences mentales et intellectuelles, car la liste d’activités qui sert à évaluer l’éligibilité n’est pas pertinente pour apprécier leur situation.</w:t>
      </w:r>
    </w:p>
    <w:p w:rsidRPr="00A86354" w:rsidR="00FF47AF" w:rsidP="00FF47AF" w:rsidRDefault="00FF47AF" w14:paraId="66319AF7" w14:textId="77777777">
      <w:pPr>
        <w:pStyle w:val="ListParagraph"/>
        <w:rPr>
          <w:rFonts w:cs="Arial"/>
          <w:lang w:val="fr-FR"/>
        </w:rPr>
      </w:pPr>
    </w:p>
    <w:p w:rsidRPr="00A86354" w:rsidR="00FF47AF" w:rsidP="00CE016A" w:rsidRDefault="009F45D2" w14:paraId="1812D8DD" w14:textId="45A2352F">
      <w:pPr>
        <w:pStyle w:val="ListParagraph"/>
        <w:numPr>
          <w:ilvl w:val="0"/>
          <w:numId w:val="1"/>
        </w:numPr>
        <w:ind w:left="0" w:firstLine="0"/>
        <w:rPr>
          <w:rFonts w:cs="Arial"/>
          <w:lang w:val="fr-FR"/>
        </w:rPr>
      </w:pPr>
      <w:r w:rsidRPr="00A86354">
        <w:rPr>
          <w:rFonts w:cs="Arial"/>
          <w:lang w:val="fr-FR"/>
        </w:rPr>
        <w:t>Le Comité note également que</w:t>
      </w:r>
      <w:r w:rsidRPr="00A86354" w:rsidR="00FF47AF">
        <w:rPr>
          <w:rFonts w:cs="Arial"/>
          <w:lang w:val="fr-FR"/>
        </w:rPr>
        <w:t xml:space="preserve"> la rigidité de la définition réglementaire de l’« aide humaine » visée par la PCH, qui se limite à trois catégories d’actes dont chacun est défini sur la base d’une liste exhaustive d’activités (les actes essentiels de l’existence, par exemple, se limitent à la toilette, à l’habillage, à l’alimentation et à l’élimination), peut aboutir à ce que certaines activités, pourtant cruciales pour une vie autonome et incluse dans la société, soient en pratique exclues du dispositif de compensation. À cet égard, le Comité note avec inquiétude que les observations des organisations réclamantes et le rapport de 2016 de l’IGAS font état de la non-inclusion par la PCH de l’</w:t>
      </w:r>
      <w:bookmarkStart w:name="_Hlk115857524" w:id="27"/>
      <w:r w:rsidRPr="00A86354" w:rsidR="00FF47AF">
        <w:rPr>
          <w:rFonts w:cs="Arial"/>
          <w:lang w:val="fr-FR"/>
        </w:rPr>
        <w:t>aide ménagère</w:t>
      </w:r>
      <w:bookmarkEnd w:id="27"/>
      <w:r w:rsidRPr="00A86354" w:rsidR="00FF47AF">
        <w:rPr>
          <w:rFonts w:cs="Arial"/>
          <w:lang w:val="fr-FR"/>
        </w:rPr>
        <w:t xml:space="preserve"> – couverte sous conditions par l’allocation compensatrice pour tierce personne (ACTP) – ou du </w:t>
      </w:r>
      <w:bookmarkStart w:name="_Hlk115857547" w:id="28"/>
      <w:r w:rsidRPr="00A86354" w:rsidR="00FF47AF">
        <w:rPr>
          <w:rFonts w:cs="Arial"/>
          <w:lang w:val="fr-FR"/>
        </w:rPr>
        <w:t>soutien parental</w:t>
      </w:r>
      <w:bookmarkEnd w:id="28"/>
      <w:r w:rsidRPr="00A86354" w:rsidR="00FF47AF">
        <w:rPr>
          <w:rFonts w:cs="Arial"/>
          <w:lang w:val="fr-FR"/>
        </w:rPr>
        <w:t>, ce qui crée de grandes difficultés pour les personnes handicapées.</w:t>
      </w:r>
    </w:p>
    <w:p w:rsidRPr="00A86354" w:rsidR="008F0D0E" w:rsidP="008F0D0E" w:rsidRDefault="008F0D0E" w14:paraId="76BF30D0" w14:textId="77777777">
      <w:pPr>
        <w:ind w:left="360" w:hanging="360"/>
        <w:rPr>
          <w:rFonts w:ascii="Arial" w:hAnsi="Arial" w:cs="Arial"/>
          <w:lang w:val="fr-FR"/>
        </w:rPr>
      </w:pPr>
    </w:p>
    <w:p w:rsidRPr="00A86354" w:rsidR="00FF47AF" w:rsidP="00CE016A" w:rsidRDefault="00FF47AF" w14:paraId="41E19AF3" w14:textId="07A3B8CF">
      <w:pPr>
        <w:pStyle w:val="ListParagraph"/>
        <w:numPr>
          <w:ilvl w:val="0"/>
          <w:numId w:val="1"/>
        </w:numPr>
        <w:ind w:left="0" w:firstLine="0"/>
        <w:rPr>
          <w:rFonts w:cs="Arial"/>
          <w:lang w:val="fr-FR"/>
        </w:rPr>
      </w:pPr>
      <w:r w:rsidRPr="00A86354">
        <w:rPr>
          <w:rFonts w:cs="Arial"/>
          <w:lang w:val="fr-FR"/>
        </w:rPr>
        <w:t xml:space="preserve">Le Comité </w:t>
      </w:r>
      <w:r w:rsidRPr="00A86354" w:rsidR="004C422A">
        <w:rPr>
          <w:rFonts w:cs="Arial"/>
          <w:lang w:val="fr-FR"/>
        </w:rPr>
        <w:t>prend</w:t>
      </w:r>
      <w:r w:rsidRPr="00A86354">
        <w:rPr>
          <w:rFonts w:cs="Arial"/>
          <w:lang w:val="fr-FR"/>
        </w:rPr>
        <w:t xml:space="preserve"> par ailleurs </w:t>
      </w:r>
      <w:r w:rsidRPr="00A86354" w:rsidR="004C422A">
        <w:rPr>
          <w:rFonts w:cs="Arial"/>
          <w:lang w:val="fr-FR"/>
        </w:rPr>
        <w:t>note des</w:t>
      </w:r>
      <w:r w:rsidRPr="00A86354">
        <w:rPr>
          <w:rFonts w:cs="Arial"/>
          <w:lang w:val="fr-FR"/>
        </w:rPr>
        <w:t xml:space="preserve"> observations des organisations réclamantes, de la Défenseure des droits et de la CNCDH ainsi que </w:t>
      </w:r>
      <w:r w:rsidRPr="00A86354" w:rsidR="004C422A">
        <w:rPr>
          <w:rFonts w:cs="Arial"/>
          <w:lang w:val="fr-FR"/>
        </w:rPr>
        <w:t>du</w:t>
      </w:r>
      <w:r w:rsidRPr="00A86354">
        <w:rPr>
          <w:rFonts w:cs="Arial"/>
          <w:lang w:val="fr-FR"/>
        </w:rPr>
        <w:t xml:space="preserve"> rapport de 2016 de l’IGAS cité par les organisations réclamantes </w:t>
      </w:r>
      <w:r w:rsidRPr="00A86354" w:rsidR="004C422A">
        <w:rPr>
          <w:rFonts w:cs="Arial"/>
          <w:lang w:val="fr-FR"/>
        </w:rPr>
        <w:t>concernant</w:t>
      </w:r>
      <w:r w:rsidRPr="00A86354">
        <w:rPr>
          <w:rFonts w:cs="Arial"/>
          <w:lang w:val="fr-FR"/>
        </w:rPr>
        <w:t xml:space="preserve"> des inégalités géographiques dans l’allocation de la PCH, qui s’expliquent par les</w:t>
      </w:r>
      <w:r w:rsidRPr="00A86354">
        <w:rPr>
          <w:lang w:val="fr-FR"/>
        </w:rPr>
        <w:t xml:space="preserve"> </w:t>
      </w:r>
      <w:r w:rsidRPr="00A86354">
        <w:rPr>
          <w:rFonts w:cs="Arial"/>
          <w:lang w:val="fr-FR"/>
        </w:rPr>
        <w:t>pratiques divergentes des MDPH en matière de mise en œuvre de la réglementation. L’absence d’harmonisation des pratiques entre les différentes MDPH et l’interprétation variable du droit à compensation d’une MDPH à l’autre peuvent être une source d’incertitude pour les bénéficiaires quant à la portée des règles juridiques et à leur application.</w:t>
      </w:r>
    </w:p>
    <w:p w:rsidRPr="00A86354" w:rsidR="008F0D0E" w:rsidP="008F0D0E" w:rsidRDefault="008F0D0E" w14:paraId="7B737634" w14:textId="77777777">
      <w:pPr>
        <w:ind w:left="360" w:hanging="360"/>
        <w:rPr>
          <w:rFonts w:ascii="Arial" w:hAnsi="Arial" w:cs="Arial"/>
          <w:lang w:val="fr-FR"/>
        </w:rPr>
      </w:pPr>
    </w:p>
    <w:p w:rsidRPr="00A86354" w:rsidR="00822982" w:rsidP="00CE016A" w:rsidRDefault="00FF47AF" w14:paraId="5CAA16B2" w14:textId="04358F5F">
      <w:pPr>
        <w:pStyle w:val="ListParagraph"/>
        <w:numPr>
          <w:ilvl w:val="0"/>
          <w:numId w:val="1"/>
        </w:numPr>
        <w:ind w:left="0" w:firstLine="0"/>
        <w:rPr>
          <w:rFonts w:cs="Arial"/>
          <w:lang w:val="fr-FR"/>
        </w:rPr>
      </w:pPr>
      <w:r w:rsidRPr="00A86354">
        <w:rPr>
          <w:rFonts w:cs="Arial"/>
          <w:lang w:val="fr-FR"/>
        </w:rPr>
        <w:t>Le Comité note en particulier l’allégation faite par les organisations réclamantes, et confirmée par le rapport de 2016 de l’IGAS, selon laquelle les évaluations se font majoritairement sur dossier, sans entretien ni interaction avec le bénéficiaire. Pour le Comité, il est essentiel, pour que le dispositif de compensation soit considéré comme centré sur la personne, que l’évaluation soit effectuée dans le milieu de vie de la personne, en tenant compte des capacités de cette dernière et de sa situation particulière. Une évaluation faite uniquement sur dossier, sans interaction avec l’intéressé, ne saurait satisfaire à l’exigence d’un service d’accompagnement centré sur la personne.</w:t>
      </w:r>
    </w:p>
    <w:p w:rsidRPr="00A86354" w:rsidR="00822982" w:rsidP="00822982" w:rsidRDefault="00822982" w14:paraId="15C9E7C9" w14:textId="77777777">
      <w:pPr>
        <w:pStyle w:val="ListParagraph"/>
        <w:rPr>
          <w:rFonts w:cs="Arial"/>
          <w:lang w:val="fr-FR"/>
        </w:rPr>
      </w:pPr>
    </w:p>
    <w:p w:rsidRPr="00A86354" w:rsidR="00822982" w:rsidP="00CE016A" w:rsidRDefault="00822982" w14:paraId="5F8B26F1" w14:textId="0FE4A413">
      <w:pPr>
        <w:pStyle w:val="ListParagraph"/>
        <w:numPr>
          <w:ilvl w:val="0"/>
          <w:numId w:val="1"/>
        </w:numPr>
        <w:ind w:left="0" w:firstLine="0"/>
        <w:rPr>
          <w:rFonts w:cs="Arial"/>
          <w:lang w:val="fr-FR"/>
        </w:rPr>
      </w:pPr>
      <w:r w:rsidRPr="00A86354">
        <w:rPr>
          <w:rFonts w:cs="Arial"/>
          <w:lang w:val="fr-FR"/>
        </w:rPr>
        <w:t xml:space="preserve">Concernant le reste à charge des bénéficiaires, le Comité note que malgré la disposition claire de la loi de 2005 qui prévoyait la possibilité d'utiliser le </w:t>
      </w:r>
      <w:r w:rsidRPr="00A86354" w:rsidR="006267DD">
        <w:rPr>
          <w:rFonts w:cs="Arial"/>
          <w:lang w:val="fr-FR"/>
        </w:rPr>
        <w:t>« </w:t>
      </w:r>
      <w:r w:rsidRPr="00A86354">
        <w:rPr>
          <w:rFonts w:cs="Arial"/>
          <w:lang w:val="fr-FR"/>
        </w:rPr>
        <w:t>fonds départemental de compensation</w:t>
      </w:r>
      <w:r w:rsidRPr="00A86354" w:rsidR="006267DD">
        <w:rPr>
          <w:rFonts w:cs="Arial"/>
          <w:lang w:val="fr-FR"/>
        </w:rPr>
        <w:t> »</w:t>
      </w:r>
      <w:r w:rsidRPr="00A86354">
        <w:rPr>
          <w:rFonts w:cs="Arial"/>
          <w:lang w:val="fr-FR"/>
        </w:rPr>
        <w:t xml:space="preserve"> pour couvrir le reste à charge, le décret d'application n'avait pas été publié depuis très longtemps, malgré une décision du 24 février 2016 du Conseil d'État ordonnant au Gouvernement de le publier dans un </w:t>
      </w:r>
      <w:r w:rsidRPr="00A86354">
        <w:rPr>
          <w:rFonts w:cs="Arial"/>
          <w:lang w:val="fr-FR"/>
        </w:rPr>
        <w:lastRenderedPageBreak/>
        <w:t>délai de 9 mois. Suite à une autre décision du Conseil d'État du 21 mai 2021 condamnant l'État à verser une indemnité pour ne pas avoir publié le décret, le décret n°</w:t>
      </w:r>
      <w:r w:rsidR="003E6AC0">
        <w:rPr>
          <w:rFonts w:cs="Arial"/>
          <w:lang w:val="fr-FR"/>
        </w:rPr>
        <w:t> </w:t>
      </w:r>
      <w:r w:rsidRPr="00A86354">
        <w:rPr>
          <w:rFonts w:cs="Arial"/>
          <w:lang w:val="fr-FR"/>
        </w:rPr>
        <w:t xml:space="preserve">2022-639 relatif à l'amélioration des fonds départementaux de compensation du handicap a été adopté le 25 avril 2022. Le Gouvernement explique que le long retard pris dans la publication du décret en question résulte de la contradiction de la disposition de l'article 146-5 du code de l'action sociale et des familles tel que modifié par la loi de 2005 concernant le caractère volontaire ou obligatoire de l'apport des fonds par les différentes personnes publiques. Néanmoins, comme l'ont affirmé les organisations réclamantes, cette contradiction était connue des autorités depuis 2005 et ne peut donc justifier la passivité/inaction des autorités à cet égard pendant plus de 15 ans.  </w:t>
      </w:r>
    </w:p>
    <w:p w:rsidRPr="00A86354" w:rsidR="00822982" w:rsidP="00822982" w:rsidRDefault="00822982" w14:paraId="5ED205F7" w14:textId="77777777">
      <w:pPr>
        <w:pStyle w:val="ListParagraph"/>
        <w:rPr>
          <w:rFonts w:cs="Arial"/>
          <w:lang w:val="fr-FR"/>
        </w:rPr>
      </w:pPr>
    </w:p>
    <w:p w:rsidRPr="00A86354" w:rsidR="00D250A0" w:rsidP="00CE016A" w:rsidRDefault="00822982" w14:paraId="63FBA736" w14:textId="4991DC44">
      <w:pPr>
        <w:pStyle w:val="ListParagraph"/>
        <w:numPr>
          <w:ilvl w:val="0"/>
          <w:numId w:val="1"/>
        </w:numPr>
        <w:ind w:left="0" w:firstLine="0"/>
        <w:rPr>
          <w:rFonts w:cs="Arial"/>
          <w:lang w:val="fr-FR"/>
        </w:rPr>
      </w:pPr>
      <w:r w:rsidRPr="00A86354">
        <w:rPr>
          <w:rFonts w:cs="Arial"/>
          <w:lang w:val="fr-FR"/>
        </w:rPr>
        <w:t xml:space="preserve">En ce qui concerne la prévalence de la pauvreté chez les personnes handicapées en tant qu'indicateur de l'efficacité des efforts de l'État pour garantir le droit des personnes handicapées à l'indépendance, à l'intégration sociale et à la participation à la vie de la communauté, le Comité prend note des observations de la CNCDH et du Défenseur des droits, se référant aux chiffres publiés en 2010 par le ministère des Solidarités et de la Santé, selon lesquels le niveau de vie annuel médian des personnes handicapées âgées de 15 à 64 ans était de 18,500 </w:t>
      </w:r>
      <w:r w:rsidRPr="00A86354" w:rsidR="006267DD">
        <w:rPr>
          <w:rFonts w:cs="Arial"/>
          <w:lang w:val="fr-FR"/>
        </w:rPr>
        <w:t>EUR</w:t>
      </w:r>
      <w:r w:rsidRPr="00A86354">
        <w:rPr>
          <w:rFonts w:cs="Arial"/>
          <w:lang w:val="fr-FR"/>
        </w:rPr>
        <w:t xml:space="preserve">, soit 2,000 </w:t>
      </w:r>
      <w:r w:rsidRPr="00A86354" w:rsidR="006267DD">
        <w:rPr>
          <w:rFonts w:cs="Arial"/>
          <w:lang w:val="fr-FR"/>
        </w:rPr>
        <w:t>EUR</w:t>
      </w:r>
      <w:r w:rsidRPr="00A86354">
        <w:rPr>
          <w:rFonts w:cs="Arial"/>
          <w:lang w:val="fr-FR"/>
        </w:rPr>
        <w:t xml:space="preserve"> de moins que celui des personnes non handicapées, tandis que le niveau de vie des personnes lourdement handicapées était de 16 800 </w:t>
      </w:r>
      <w:r w:rsidRPr="00A86354" w:rsidR="006267DD">
        <w:rPr>
          <w:rFonts w:cs="Arial"/>
          <w:lang w:val="fr-FR"/>
        </w:rPr>
        <w:t>EUR</w:t>
      </w:r>
      <w:r w:rsidRPr="00A86354">
        <w:rPr>
          <w:rFonts w:cs="Arial"/>
          <w:lang w:val="fr-FR"/>
        </w:rPr>
        <w:t xml:space="preserve"> (soit 3,700 </w:t>
      </w:r>
      <w:r w:rsidRPr="00A86354" w:rsidR="006267DD">
        <w:rPr>
          <w:rFonts w:cs="Arial"/>
          <w:lang w:val="fr-FR"/>
        </w:rPr>
        <w:t>EUR</w:t>
      </w:r>
      <w:r w:rsidRPr="00A86354">
        <w:rPr>
          <w:rFonts w:cs="Arial"/>
          <w:lang w:val="fr-FR"/>
        </w:rPr>
        <w:t xml:space="preserve"> de moins que celui des personnes non handicapées). Le Comité relève également dans les mêmes observations se référant à des chiffres plus récents (2019), que le taux de chômage des personnes handicapées est deux fois supérieur à la moyenne nationale et que l'augmentation exceptionnelle, en 2019, du montant de l'AAH allouée aux personnes handicapées est restée insuffisante pour permettre aux bénéficiaires de l'AAH de franchir le seuil de pauvreté.</w:t>
      </w:r>
    </w:p>
    <w:p w:rsidRPr="00A86354" w:rsidR="00D250A0" w:rsidP="00D250A0" w:rsidRDefault="00D250A0" w14:paraId="72977835" w14:textId="77777777">
      <w:pPr>
        <w:pStyle w:val="ListParagraph"/>
        <w:rPr>
          <w:rFonts w:cs="Arial"/>
          <w:lang w:val="fr-FR"/>
        </w:rPr>
      </w:pPr>
    </w:p>
    <w:p w:rsidRPr="00A86354" w:rsidR="00902F35" w:rsidP="00CE016A" w:rsidRDefault="00D250A0" w14:paraId="2DD6B09C" w14:textId="20421216">
      <w:pPr>
        <w:pStyle w:val="ListParagraph"/>
        <w:numPr>
          <w:ilvl w:val="0"/>
          <w:numId w:val="1"/>
        </w:numPr>
        <w:ind w:left="0" w:firstLine="0"/>
        <w:rPr>
          <w:rFonts w:cs="Arial"/>
          <w:lang w:val="fr-FR"/>
        </w:rPr>
      </w:pPr>
      <w:r w:rsidRPr="00A86354">
        <w:rPr>
          <w:rFonts w:cs="Arial"/>
          <w:lang w:val="fr-FR"/>
        </w:rPr>
        <w:t xml:space="preserve">Le Comité note qu'un certain nombre de mesures sont envisagées par les autorités, notamment celles visant à engager la révision de la liste des produits et services remboursables et la mise à jour de l'arrêté fixant les tarifs de la PCH pour les aides techniques. Cependant, en l'absence d'informations sur la mise en œuvre et/ou les résultats concrets de ces mesures, le Comité conclut que les autorités n'ont pas adopté de mesures efficaces dans un délai raisonnable pour assurer les services de soutien financier nécessaires afin de garantir la pleine intégration sociale et la participation à la vie de la communauté des personnes handicapées. </w:t>
      </w:r>
    </w:p>
    <w:p w:rsidRPr="00A86354" w:rsidR="00902F35" w:rsidP="00902F35" w:rsidRDefault="00902F35" w14:paraId="21BC9F6D" w14:textId="77777777">
      <w:pPr>
        <w:pStyle w:val="ListParagraph"/>
        <w:rPr>
          <w:rFonts w:cs="Arial"/>
          <w:lang w:val="fr-FR"/>
        </w:rPr>
      </w:pPr>
    </w:p>
    <w:p w:rsidRPr="00A86354" w:rsidR="00822982" w:rsidP="00CE016A" w:rsidRDefault="006267DD" w14:paraId="26E51D0B" w14:textId="7BBC0693">
      <w:pPr>
        <w:pStyle w:val="ListParagraph"/>
        <w:numPr>
          <w:ilvl w:val="0"/>
          <w:numId w:val="1"/>
        </w:numPr>
        <w:ind w:left="0" w:firstLine="0"/>
        <w:rPr>
          <w:rFonts w:cs="Arial"/>
          <w:lang w:val="fr-FR"/>
        </w:rPr>
      </w:pPr>
      <w:r w:rsidRPr="00A86354">
        <w:rPr>
          <w:rFonts w:cs="Arial"/>
          <w:lang w:val="fr-FR"/>
        </w:rPr>
        <w:t xml:space="preserve">Le Comité dit qu'il y a </w:t>
      </w:r>
      <w:r w:rsidRPr="00A86354" w:rsidR="00D250A0">
        <w:rPr>
          <w:rFonts w:cs="Arial"/>
          <w:lang w:val="fr-FR"/>
        </w:rPr>
        <w:t xml:space="preserve">donc violation de l'article 15§3 de la Charte à cet égard.   </w:t>
      </w:r>
    </w:p>
    <w:p w:rsidRPr="00A86354" w:rsidR="00FF47AF" w:rsidP="00FF47AF" w:rsidRDefault="00FF47AF" w14:paraId="1A620A53" w14:textId="77777777">
      <w:pPr>
        <w:pStyle w:val="ListParagraph"/>
        <w:rPr>
          <w:rFonts w:cs="Arial"/>
          <w:lang w:val="fr-FR"/>
        </w:rPr>
      </w:pPr>
    </w:p>
    <w:p w:rsidRPr="00A86354" w:rsidR="00FF47AF" w:rsidP="00A86354" w:rsidRDefault="00FF47AF" w14:paraId="3E32CF38" w14:textId="77777777">
      <w:pPr>
        <w:rPr>
          <w:rFonts w:ascii="Arial" w:hAnsi="Arial" w:cs="Arial"/>
          <w:b/>
          <w:bCs/>
          <w:i/>
          <w:iCs/>
          <w:lang w:val="fr-FR"/>
        </w:rPr>
      </w:pPr>
      <w:r w:rsidRPr="00A86354">
        <w:rPr>
          <w:rFonts w:ascii="Arial" w:hAnsi="Arial" w:cs="Arial"/>
          <w:b/>
          <w:bCs/>
          <w:i/>
          <w:iCs/>
          <w:lang w:val="fr-FR"/>
        </w:rPr>
        <w:t>Accessibilité des bâtiments et installations publics, des logements et des transports</w:t>
      </w:r>
      <w:r w:rsidRPr="00A86354">
        <w:rPr>
          <w:lang w:val="fr-FR"/>
        </w:rPr>
        <w:t xml:space="preserve"> </w:t>
      </w:r>
      <w:r w:rsidRPr="00A86354">
        <w:rPr>
          <w:rFonts w:ascii="Arial" w:hAnsi="Arial" w:cs="Arial"/>
          <w:b/>
          <w:bCs/>
          <w:i/>
          <w:iCs/>
          <w:lang w:val="fr-FR"/>
        </w:rPr>
        <w:t>publics</w:t>
      </w:r>
    </w:p>
    <w:p w:rsidRPr="00A86354" w:rsidR="008F0D0E" w:rsidP="008F0D0E" w:rsidRDefault="008F0D0E" w14:paraId="6CF4DDE6" w14:textId="77777777">
      <w:pPr>
        <w:ind w:left="360" w:hanging="360"/>
        <w:rPr>
          <w:rFonts w:ascii="Arial" w:hAnsi="Arial" w:cs="Arial"/>
          <w:lang w:val="fr-FR"/>
        </w:rPr>
      </w:pPr>
    </w:p>
    <w:p w:rsidRPr="00A86354" w:rsidR="00902F35" w:rsidP="00CE016A" w:rsidRDefault="00902F35" w14:paraId="6754AF3D" w14:textId="64D99B9D">
      <w:pPr>
        <w:pStyle w:val="ListParagraph"/>
        <w:numPr>
          <w:ilvl w:val="0"/>
          <w:numId w:val="1"/>
        </w:numPr>
        <w:ind w:left="0" w:firstLine="0"/>
        <w:rPr>
          <w:rFonts w:cs="Arial"/>
          <w:lang w:val="fr-FR"/>
        </w:rPr>
      </w:pPr>
      <w:r w:rsidRPr="00A86354">
        <w:rPr>
          <w:rFonts w:cs="Arial"/>
          <w:lang w:val="fr-FR"/>
        </w:rPr>
        <w:t>Comme indiqué ci-dessus (</w:t>
      </w:r>
      <w:r w:rsidR="008532B8">
        <w:rPr>
          <w:rFonts w:cs="Arial"/>
          <w:lang w:val="fr-FR"/>
        </w:rPr>
        <w:t>voir par.</w:t>
      </w:r>
      <w:r w:rsidRPr="00A86354" w:rsidR="006267DD">
        <w:rPr>
          <w:rFonts w:cs="Arial"/>
          <w:lang w:val="fr-FR"/>
        </w:rPr>
        <w:t> </w:t>
      </w:r>
      <w:r w:rsidRPr="00A86354">
        <w:rPr>
          <w:rFonts w:cs="Arial"/>
          <w:lang w:val="fr-FR"/>
        </w:rPr>
        <w:t>18</w:t>
      </w:r>
      <w:r w:rsidRPr="00A86354" w:rsidR="006267DD">
        <w:rPr>
          <w:rFonts w:cs="Arial"/>
          <w:lang w:val="fr-FR"/>
        </w:rPr>
        <w:t>3</w:t>
      </w:r>
      <w:r w:rsidRPr="00A86354">
        <w:rPr>
          <w:rFonts w:cs="Arial"/>
          <w:lang w:val="fr-FR"/>
        </w:rPr>
        <w:t>), pour être en conformité avec l'article 15§3, les transports publics (terrestres, ferroviaires, maritimes et aériens), tous les bâtiments publics ouverts au public, nouvellement construits ou rénovés, et les activités culturelles et de loisirs doivent être physiquement accessibles. En outre, les besoins des personnes handicapées doivent être pris en compte dans les politiques de logement, y compris la construction d'une offre suffisante de logements adaptés, publics, sociaux ou privés.</w:t>
      </w:r>
    </w:p>
    <w:p w:rsidRPr="00A86354" w:rsidR="00FF47AF" w:rsidP="00FF47AF" w:rsidRDefault="00FF47AF" w14:paraId="4D6BF9B3" w14:textId="77777777">
      <w:pPr>
        <w:rPr>
          <w:rFonts w:cs="Arial"/>
          <w:lang w:val="fr-FR"/>
        </w:rPr>
      </w:pPr>
    </w:p>
    <w:p w:rsidRPr="00A86354" w:rsidR="00FF47AF" w:rsidP="00CE016A" w:rsidRDefault="00FF47AF" w14:paraId="42571D5F" w14:textId="77777777">
      <w:pPr>
        <w:pStyle w:val="ListParagraph"/>
        <w:numPr>
          <w:ilvl w:val="0"/>
          <w:numId w:val="1"/>
        </w:numPr>
        <w:ind w:left="0" w:firstLine="0"/>
        <w:rPr>
          <w:rFonts w:cs="Arial"/>
          <w:lang w:val="fr-FR"/>
        </w:rPr>
      </w:pPr>
      <w:r w:rsidRPr="00A86354">
        <w:rPr>
          <w:rFonts w:cs="Arial"/>
          <w:lang w:val="fr-FR"/>
        </w:rPr>
        <w:lastRenderedPageBreak/>
        <w:t xml:space="preserve">Le Comité note que le Gouvernement reconnaît qu’en matière d’accessibilité, la mise en œuvre de la loi de 2005 s’est révélée plus difficile que prévu, aussi bien pour le cadre bâti qu’en matière de transports. </w:t>
      </w:r>
    </w:p>
    <w:p w:rsidRPr="00A86354" w:rsidR="008F0D0E" w:rsidP="008F0D0E" w:rsidRDefault="008F0D0E" w14:paraId="1D99C1F0" w14:textId="77777777">
      <w:pPr>
        <w:ind w:left="360" w:hanging="360"/>
        <w:rPr>
          <w:rFonts w:ascii="Arial" w:hAnsi="Arial" w:cs="Arial"/>
          <w:lang w:val="fr-FR"/>
        </w:rPr>
      </w:pPr>
    </w:p>
    <w:p w:rsidRPr="00A86354" w:rsidR="00FF47AF" w:rsidP="00CE016A" w:rsidRDefault="00FF47AF" w14:paraId="026038BE" w14:textId="7846F9F6">
      <w:pPr>
        <w:pStyle w:val="ListParagraph"/>
        <w:numPr>
          <w:ilvl w:val="0"/>
          <w:numId w:val="1"/>
        </w:numPr>
        <w:ind w:left="0" w:firstLine="0"/>
        <w:rPr>
          <w:rFonts w:cs="Arial"/>
          <w:lang w:val="fr-FR"/>
        </w:rPr>
      </w:pPr>
      <w:r w:rsidRPr="00A86354">
        <w:rPr>
          <w:rFonts w:cs="Arial"/>
          <w:lang w:val="fr-FR"/>
        </w:rPr>
        <w:t>Pour ce qui est de l’accessibilité des bâtiments et installations, le Comité note que l’exigence d’accessibilité dans la conception des espaces publics, des locaux d’habitation et des installations ouvertes au public, notamment les locaux scolaires, universitaires et de formation,</w:t>
      </w:r>
      <w:r w:rsidRPr="00A86354">
        <w:rPr>
          <w:lang w:val="fr-FR"/>
        </w:rPr>
        <w:t xml:space="preserve"> était déjà présente en 1975 dans la </w:t>
      </w:r>
      <w:r w:rsidRPr="00A86354">
        <w:rPr>
          <w:rFonts w:cs="Arial"/>
          <w:lang w:val="fr-FR"/>
        </w:rPr>
        <w:t xml:space="preserve">loi d’orientation en faveur des personnes handicapées (voir </w:t>
      </w:r>
      <w:r w:rsidR="008532B8">
        <w:rPr>
          <w:rFonts w:cs="Arial"/>
          <w:lang w:val="fr-FR"/>
        </w:rPr>
        <w:t>par.</w:t>
      </w:r>
      <w:r w:rsidRPr="00A86354">
        <w:rPr>
          <w:rFonts w:cs="Arial"/>
          <w:lang w:val="fr-FR"/>
        </w:rPr>
        <w:t> </w:t>
      </w:r>
      <w:r w:rsidRPr="00A86354" w:rsidR="00902F35">
        <w:rPr>
          <w:rFonts w:cs="Arial"/>
          <w:lang w:val="fr-FR"/>
        </w:rPr>
        <w:t>7</w:t>
      </w:r>
      <w:r w:rsidRPr="00A86354" w:rsidR="006267DD">
        <w:rPr>
          <w:rFonts w:cs="Arial"/>
          <w:lang w:val="fr-FR"/>
        </w:rPr>
        <w:t>9</w:t>
      </w:r>
      <w:r w:rsidR="003E6AC0">
        <w:rPr>
          <w:rFonts w:cs="Arial"/>
          <w:lang w:val="fr-FR"/>
        </w:rPr>
        <w:t xml:space="preserve"> ci-dessus</w:t>
      </w:r>
      <w:r w:rsidRPr="00A86354">
        <w:rPr>
          <w:rFonts w:cs="Arial"/>
          <w:lang w:val="fr-FR"/>
        </w:rPr>
        <w:t>). Trente ans plus tard, la loi adoptée en 2005 a réaffirmé le principe d’accessibilité et posé, pour les ERP, un délai de 10 ans à compter de sa date de publication pour répondre aux exigences d’accessibilité.</w:t>
      </w:r>
    </w:p>
    <w:p w:rsidRPr="00A86354" w:rsidR="008F0D0E" w:rsidP="008F0D0E" w:rsidRDefault="008F0D0E" w14:paraId="2D35F151" w14:textId="77777777">
      <w:pPr>
        <w:ind w:left="360" w:hanging="360"/>
        <w:rPr>
          <w:rFonts w:ascii="Arial" w:hAnsi="Arial" w:cs="Arial"/>
          <w:lang w:val="fr-FR"/>
        </w:rPr>
      </w:pPr>
    </w:p>
    <w:p w:rsidRPr="00A86354" w:rsidR="00FF35A4" w:rsidP="00CE016A" w:rsidRDefault="00FF47AF" w14:paraId="64216382" w14:textId="6FF34FA9">
      <w:pPr>
        <w:pStyle w:val="ListParagraph"/>
        <w:numPr>
          <w:ilvl w:val="0"/>
          <w:numId w:val="1"/>
        </w:numPr>
        <w:ind w:left="0" w:firstLine="0"/>
        <w:rPr>
          <w:rFonts w:cs="Arial"/>
          <w:lang w:val="fr-FR"/>
        </w:rPr>
      </w:pPr>
      <w:r w:rsidRPr="00A86354">
        <w:rPr>
          <w:rFonts w:cs="Arial"/>
          <w:lang w:val="fr-FR"/>
        </w:rPr>
        <w:t>Le Comité note par ailleurs que, ce délai n’ayant pas été respecté et l’objectif fixé par la loi de 2005 n’ayant pas été atteint, l’ordonnance n° 2014-1090 du 26 septembre 2014 ratifiée par la loi n° 2015-988 du 5 août 2015 a supprimé le délai de 10 ans accordé pour la mise en accessibilité. À la place, l’ordonnance de 2014 a instauré une obligation pour les</w:t>
      </w:r>
      <w:r w:rsidRPr="00A86354">
        <w:rPr>
          <w:lang w:val="fr-FR"/>
        </w:rPr>
        <w:t xml:space="preserve"> </w:t>
      </w:r>
      <w:r w:rsidRPr="00A86354">
        <w:rPr>
          <w:rFonts w:cs="Arial"/>
          <w:lang w:val="fr-FR"/>
        </w:rPr>
        <w:t>gestionnaires d’établissements recevant du public ou d’installations ouvertes au public d’élaborer un agenda d’accessibilité programmée (Ad’AP).</w:t>
      </w:r>
    </w:p>
    <w:p w:rsidRPr="00A86354" w:rsidR="00FF35A4" w:rsidP="00FF35A4" w:rsidRDefault="00FF35A4" w14:paraId="6443F3A3" w14:textId="77777777">
      <w:pPr>
        <w:pStyle w:val="ListParagraph"/>
        <w:rPr>
          <w:rFonts w:cs="Arial"/>
          <w:lang w:val="fr-FR"/>
        </w:rPr>
      </w:pPr>
    </w:p>
    <w:p w:rsidRPr="00A86354" w:rsidR="00FF35A4" w:rsidP="00CE016A" w:rsidRDefault="00902F35" w14:paraId="35B2C968" w14:textId="13D1AFC9">
      <w:pPr>
        <w:pStyle w:val="ListParagraph"/>
        <w:numPr>
          <w:ilvl w:val="0"/>
          <w:numId w:val="1"/>
        </w:numPr>
        <w:ind w:left="0" w:firstLine="0"/>
        <w:rPr>
          <w:rFonts w:cs="Arial"/>
          <w:lang w:val="fr-FR"/>
        </w:rPr>
      </w:pPr>
      <w:r w:rsidRPr="00A86354">
        <w:rPr>
          <w:rFonts w:cs="Arial"/>
          <w:lang w:val="fr-FR"/>
        </w:rPr>
        <w:t>Néanmoins, le Comité constate, sur la base des observations des parties, que si un nombre important d'ERP sont désormais couverts par le dispositif Ad'AP, cela ne signifie pas que ces bâtiments sont rendus accessibles, mais qu'un agenda d'accessibilité, qui doit être mis en œuvre dans un délai de 3 à 9 ans, est déposé par les gestionnaires des bâtiments auprès des autorités compétentes. Le Comité note également que le nombre d'ERP qui ont été rendus accessibles dans le cadre du dispositif Ad'AP depuis 2015 n'est que de 10</w:t>
      </w:r>
      <w:r w:rsidRPr="00A86354" w:rsidR="006267DD">
        <w:rPr>
          <w:rFonts w:cs="Arial"/>
          <w:lang w:val="fr-FR"/>
        </w:rPr>
        <w:t> </w:t>
      </w:r>
      <w:r w:rsidRPr="00A86354">
        <w:rPr>
          <w:rFonts w:cs="Arial"/>
          <w:lang w:val="fr-FR"/>
        </w:rPr>
        <w:t xml:space="preserve">000. Le Comité estime donc que les autorités n'ont pas pris de mesures efficaces en matière d'accessibilité des bâtiments et des installations et que des problèmes importants subsistent à cet égard.    </w:t>
      </w:r>
    </w:p>
    <w:p w:rsidRPr="00A86354" w:rsidR="00902F35" w:rsidP="00FF35A4" w:rsidRDefault="00902F35" w14:paraId="69F0275C" w14:textId="6E516C03">
      <w:pPr>
        <w:pStyle w:val="ListParagraph"/>
        <w:rPr>
          <w:rFonts w:cs="Arial"/>
          <w:lang w:val="fr-FR"/>
        </w:rPr>
      </w:pPr>
    </w:p>
    <w:p w:rsidRPr="00A86354" w:rsidR="00FF47AF" w:rsidP="00CE016A" w:rsidRDefault="00FF47AF" w14:paraId="37EF48CD" w14:textId="79DAE4B0">
      <w:pPr>
        <w:pStyle w:val="ListParagraph"/>
        <w:numPr>
          <w:ilvl w:val="0"/>
          <w:numId w:val="1"/>
        </w:numPr>
        <w:ind w:left="0" w:firstLine="0"/>
        <w:rPr>
          <w:rFonts w:cs="Arial"/>
          <w:lang w:val="fr-FR"/>
        </w:rPr>
      </w:pPr>
      <w:r w:rsidRPr="00A86354">
        <w:rPr>
          <w:rFonts w:cs="Arial"/>
          <w:lang w:val="fr-FR"/>
        </w:rPr>
        <w:t>Pour ce qui est de l’accessibilité des logements, le Comité note que la loi ELAN impose que 20 % des logements neufs soient accessibles, les 80 % restants devant être « évolutifs ». EDF et Inclusion Europe et les tiers intervenants indiquent que cette loi ne saurait être considérée comme une avancée, car elle réduit les</w:t>
      </w:r>
      <w:r w:rsidRPr="00A86354">
        <w:rPr>
          <w:lang w:val="fr-FR"/>
        </w:rPr>
        <w:t xml:space="preserve"> </w:t>
      </w:r>
      <w:r w:rsidRPr="00A86354">
        <w:rPr>
          <w:rFonts w:cs="Arial"/>
          <w:lang w:val="fr-FR"/>
        </w:rPr>
        <w:t>normes d’accessibilité, remettant notamment en cause la règle d’une accessibilité à 100 % prévue par la loi de 2005. Quant à l’affirmation du Gouvernement selon laquelle la loi ELAN abaisse l’obligation d’ascenseur pour les bâtiments d’habitation à ceux qui comptent au moins trois étages (au lieu de quatre antérieurement), les organisations réclamantes ont répondu dans leur</w:t>
      </w:r>
      <w:r w:rsidRPr="00A86354" w:rsidR="00FF35A4">
        <w:rPr>
          <w:rFonts w:cs="Arial"/>
          <w:lang w:val="fr-FR"/>
        </w:rPr>
        <w:t>s</w:t>
      </w:r>
      <w:r w:rsidRPr="00A86354">
        <w:rPr>
          <w:rFonts w:cs="Arial"/>
          <w:lang w:val="fr-FR"/>
        </w:rPr>
        <w:t xml:space="preserve"> </w:t>
      </w:r>
      <w:r w:rsidRPr="00A86354" w:rsidR="00FF35A4">
        <w:rPr>
          <w:rFonts w:cs="Arial"/>
          <w:lang w:val="fr-FR"/>
        </w:rPr>
        <w:t>observations</w:t>
      </w:r>
      <w:r w:rsidRPr="00A86354">
        <w:rPr>
          <w:rFonts w:cs="Arial"/>
          <w:lang w:val="fr-FR"/>
        </w:rPr>
        <w:t xml:space="preserve"> (</w:t>
      </w:r>
      <w:r w:rsidRPr="00A86354" w:rsidR="00FF35A4">
        <w:rPr>
          <w:rFonts w:cs="Arial"/>
          <w:lang w:val="fr-FR"/>
        </w:rPr>
        <w:t xml:space="preserve">datées de </w:t>
      </w:r>
      <w:r w:rsidRPr="00A86354">
        <w:rPr>
          <w:rFonts w:cs="Arial"/>
          <w:lang w:val="fr-FR"/>
        </w:rPr>
        <w:t>mai 2018</w:t>
      </w:r>
      <w:r w:rsidRPr="00A86354" w:rsidR="00FF35A4">
        <w:rPr>
          <w:rFonts w:cs="Arial"/>
          <w:lang w:val="fr-FR"/>
        </w:rPr>
        <w:t xml:space="preserve"> et </w:t>
      </w:r>
      <w:r w:rsidRPr="00A86354">
        <w:rPr>
          <w:rFonts w:cs="Arial"/>
          <w:lang w:val="fr-FR"/>
        </w:rPr>
        <w:t>mars 2019) que cette mesure nécessaire n’avait pas été adoptée, car le décret d’application n’avait pas encore été publié (ce décret a été adopté le 11 septembre 2020 et est entré en vigueur le 1</w:t>
      </w:r>
      <w:r w:rsidRPr="00A86354">
        <w:rPr>
          <w:rFonts w:cs="Arial"/>
          <w:vertAlign w:val="superscript"/>
          <w:lang w:val="fr-FR"/>
        </w:rPr>
        <w:t>er</w:t>
      </w:r>
      <w:r w:rsidRPr="00A86354">
        <w:rPr>
          <w:rFonts w:cs="Arial"/>
          <w:lang w:val="fr-FR"/>
        </w:rPr>
        <w:t> janvier 2021).</w:t>
      </w:r>
    </w:p>
    <w:p w:rsidRPr="00A86354" w:rsidR="008F0D0E" w:rsidP="008F0D0E" w:rsidRDefault="008F0D0E" w14:paraId="78A9162B" w14:textId="77777777">
      <w:pPr>
        <w:ind w:left="360" w:hanging="360"/>
        <w:rPr>
          <w:rFonts w:ascii="Arial" w:hAnsi="Arial" w:cs="Arial"/>
          <w:lang w:val="fr-FR"/>
        </w:rPr>
      </w:pPr>
    </w:p>
    <w:p w:rsidRPr="00A86354" w:rsidR="00FF35A4" w:rsidP="00CE016A" w:rsidRDefault="00FF47AF" w14:paraId="48B243A2" w14:textId="79D97F7B">
      <w:pPr>
        <w:pStyle w:val="ListParagraph"/>
        <w:numPr>
          <w:ilvl w:val="0"/>
          <w:numId w:val="1"/>
        </w:numPr>
        <w:ind w:left="0" w:firstLine="0"/>
        <w:rPr>
          <w:rFonts w:cs="Arial"/>
          <w:lang w:val="fr-FR"/>
        </w:rPr>
      </w:pPr>
      <w:r w:rsidRPr="00A86354">
        <w:rPr>
          <w:rFonts w:cs="Arial"/>
          <w:lang w:val="fr-FR"/>
        </w:rPr>
        <w:t xml:space="preserve">Pour ce qui est du logement social, le Comité note que, dans ses dernières conclusions au titre de l’article 15§3 concernant la France (Conclusions 2016), il a demandé des informations à jour sur l’attribution de logements sociaux adaptés aux personnes handicapées et des informations sur les aides au logement disponibles aux personnes handicapées. Dans ses Conclusions 2019 relatives à l’article 31§3 de la Charte (coût du logement), il a estimé que la situation en France n’était pas </w:t>
      </w:r>
      <w:r w:rsidRPr="00A86354">
        <w:rPr>
          <w:rFonts w:cs="Arial"/>
          <w:lang w:val="fr-FR"/>
        </w:rPr>
        <w:lastRenderedPageBreak/>
        <w:t xml:space="preserve">conforme à cet article, en raison notamment de l’insuffisance de l’offre de logements sociaux d’un coût accessible aux personnes les plus pauvres et aux populations modestes et du dysfonctionnement du système d’attribution des logements sociaux. Selon les organisations réclamantes et les tiers intervenants, les difficultés liées à cette pénurie de l’offre de logement pour satisfaire la demande sont exacerbées pour les personnes handicapées. </w:t>
      </w:r>
      <w:r w:rsidRPr="00A86354" w:rsidR="00FF35A4">
        <w:rPr>
          <w:rFonts w:cs="Arial"/>
          <w:lang w:val="fr-FR"/>
        </w:rPr>
        <w:t>Ils allèguent que l'incapacité des autorités de l'État à aligner l'offre de logements sociaux adaptés sur les demandes des personnes handicapées et à tenir compte de la priorité accordée aux personnes handicapées demandant un logement social, entraîne des délais d'attente particulièrement longs. Le Comité note qu'en 2016, le délai d'attente moyen pour un logement social accessible était de 27 mois, contre 19 mois pour l'ensemble des types de logements.</w:t>
      </w:r>
    </w:p>
    <w:p w:rsidRPr="00A86354" w:rsidR="00FF35A4" w:rsidP="00FF35A4" w:rsidRDefault="00FF35A4" w14:paraId="27FC8586" w14:textId="77777777">
      <w:pPr>
        <w:pStyle w:val="ListParagraph"/>
        <w:rPr>
          <w:rFonts w:cs="Arial"/>
          <w:lang w:val="fr-FR"/>
        </w:rPr>
      </w:pPr>
    </w:p>
    <w:p w:rsidRPr="00A86354" w:rsidR="00FF35A4" w:rsidP="00CE016A" w:rsidRDefault="00FF35A4" w14:paraId="4787AD74" w14:textId="09F2F51E">
      <w:pPr>
        <w:pStyle w:val="ListParagraph"/>
        <w:numPr>
          <w:ilvl w:val="0"/>
          <w:numId w:val="1"/>
        </w:numPr>
        <w:ind w:left="0" w:firstLine="0"/>
        <w:rPr>
          <w:rFonts w:cs="Arial"/>
          <w:lang w:val="fr-FR"/>
        </w:rPr>
      </w:pPr>
      <w:r w:rsidRPr="00A86354">
        <w:rPr>
          <w:rFonts w:cs="Arial"/>
          <w:lang w:val="fr-FR"/>
        </w:rPr>
        <w:t xml:space="preserve">Le Comité prend également note des observations du Défenseur des droits selon lesquelles, dans le contexte des dispositions relatives au logement social, le handicap est le deuxième motif de discrimination le plus souvent invoqué dans les réclamations adressées au Défenseur des droits.  </w:t>
      </w:r>
    </w:p>
    <w:p w:rsidRPr="00A86354" w:rsidR="008F0D0E" w:rsidP="008F0D0E" w:rsidRDefault="008F0D0E" w14:paraId="0CAD7589" w14:textId="77777777">
      <w:pPr>
        <w:ind w:left="360" w:hanging="360"/>
        <w:rPr>
          <w:rFonts w:ascii="Arial" w:hAnsi="Arial" w:cs="Arial"/>
          <w:lang w:val="fr-FR"/>
        </w:rPr>
      </w:pPr>
    </w:p>
    <w:p w:rsidRPr="00A86354" w:rsidR="00FF35A4" w:rsidP="00CE016A" w:rsidRDefault="00FF47AF" w14:paraId="4440367F" w14:textId="1F7EEA6A">
      <w:pPr>
        <w:pStyle w:val="ListParagraph"/>
        <w:numPr>
          <w:ilvl w:val="0"/>
          <w:numId w:val="1"/>
        </w:numPr>
        <w:ind w:left="0" w:firstLine="0"/>
        <w:rPr>
          <w:rFonts w:cs="Arial"/>
          <w:lang w:val="fr-FR"/>
        </w:rPr>
      </w:pPr>
      <w:r w:rsidRPr="00A86354">
        <w:rPr>
          <w:rFonts w:cs="Arial"/>
          <w:lang w:val="fr-FR"/>
        </w:rPr>
        <w:t xml:space="preserve">En réponse, le Gouvernement souligne qu’un répertoire du parc locatif social recensant les logements accessibles ou adaptés aux personnes à mobilité réduite </w:t>
      </w:r>
      <w:r w:rsidRPr="00A86354" w:rsidR="00FF35A4">
        <w:rPr>
          <w:rFonts w:cs="Arial"/>
          <w:lang w:val="fr-FR"/>
        </w:rPr>
        <w:t>a été</w:t>
      </w:r>
      <w:r w:rsidRPr="00A86354">
        <w:rPr>
          <w:rFonts w:cs="Arial"/>
          <w:lang w:val="fr-FR"/>
        </w:rPr>
        <w:t xml:space="preserve"> réalis</w:t>
      </w:r>
      <w:r w:rsidRPr="00A86354" w:rsidR="00FF35A4">
        <w:rPr>
          <w:rFonts w:cs="Arial"/>
          <w:lang w:val="fr-FR"/>
        </w:rPr>
        <w:t>é</w:t>
      </w:r>
      <w:r w:rsidRPr="00A86354">
        <w:rPr>
          <w:rFonts w:cs="Arial"/>
          <w:lang w:val="fr-FR"/>
        </w:rPr>
        <w:t xml:space="preserve"> </w:t>
      </w:r>
      <w:r w:rsidRPr="00A86354" w:rsidR="00FF35A4">
        <w:rPr>
          <w:rFonts w:cs="Arial"/>
          <w:lang w:val="fr-FR"/>
        </w:rPr>
        <w:t>et</w:t>
      </w:r>
      <w:r w:rsidRPr="00A86354">
        <w:rPr>
          <w:rFonts w:cs="Arial"/>
          <w:lang w:val="fr-FR"/>
        </w:rPr>
        <w:t xml:space="preserve"> diffus</w:t>
      </w:r>
      <w:r w:rsidRPr="00A86354" w:rsidR="00FF35A4">
        <w:rPr>
          <w:rFonts w:cs="Arial"/>
          <w:lang w:val="fr-FR"/>
        </w:rPr>
        <w:t>é</w:t>
      </w:r>
      <w:r w:rsidRPr="00A86354">
        <w:rPr>
          <w:rFonts w:cs="Arial"/>
          <w:lang w:val="fr-FR"/>
        </w:rPr>
        <w:t xml:space="preserve"> </w:t>
      </w:r>
      <w:r w:rsidRPr="00A86354" w:rsidR="00FF35A4">
        <w:rPr>
          <w:rFonts w:cs="Arial"/>
          <w:lang w:val="fr-FR"/>
        </w:rPr>
        <w:t>en</w:t>
      </w:r>
      <w:r w:rsidRPr="00A86354">
        <w:rPr>
          <w:rFonts w:cs="Arial"/>
          <w:lang w:val="fr-FR"/>
        </w:rPr>
        <w:t xml:space="preserve"> 2019.</w:t>
      </w:r>
      <w:r w:rsidRPr="00A86354">
        <w:rPr>
          <w:lang w:val="fr-FR"/>
        </w:rPr>
        <w:t xml:space="preserve"> </w:t>
      </w:r>
      <w:r w:rsidRPr="00A86354">
        <w:rPr>
          <w:rFonts w:cs="Arial"/>
          <w:lang w:val="fr-FR"/>
        </w:rPr>
        <w:t>EDF et Inclusion Europe rappellent néanmoins que les communes de plus de 5 000 habitants ont l’obligation de procéder à un recensement de l’offre de logement accessible depuis la loi de 2005, sans que cela soit effectif. Les organisations réclamantes font valoir que le répertoire du parc locatif social invoqué par le Gouvernement ne solutionne pas la situation aggravée par l’abaissement du seuil d’accessibilité des bâtiments d’habitation collectifs prévu par la loi ELAN.</w:t>
      </w:r>
      <w:r w:rsidRPr="00A86354" w:rsidR="00FF35A4">
        <w:rPr>
          <w:rFonts w:cs="Arial"/>
          <w:lang w:val="fr-FR"/>
        </w:rPr>
        <w:t xml:space="preserve"> Le Comité constate donc qu'il subsiste des problèmes importants en matière d'accessibilité des logements pour les personnes handicapées en France.   </w:t>
      </w:r>
    </w:p>
    <w:p w:rsidRPr="00A86354" w:rsidR="008F0D0E" w:rsidP="008F0D0E" w:rsidRDefault="008F0D0E" w14:paraId="5BD8CF5B" w14:textId="77777777">
      <w:pPr>
        <w:ind w:left="360" w:hanging="360"/>
        <w:rPr>
          <w:rFonts w:ascii="Arial" w:hAnsi="Arial" w:cs="Arial"/>
          <w:lang w:val="fr-FR"/>
        </w:rPr>
      </w:pPr>
    </w:p>
    <w:p w:rsidRPr="00A86354" w:rsidR="00FF47AF" w:rsidP="00CE016A" w:rsidRDefault="00FF47AF" w14:paraId="57931F78" w14:textId="77777777">
      <w:pPr>
        <w:pStyle w:val="ListParagraph"/>
        <w:numPr>
          <w:ilvl w:val="0"/>
          <w:numId w:val="1"/>
        </w:numPr>
        <w:ind w:left="0" w:firstLine="0"/>
        <w:rPr>
          <w:rFonts w:cs="Arial"/>
          <w:lang w:val="fr-FR"/>
        </w:rPr>
      </w:pPr>
      <w:r w:rsidRPr="00A86354">
        <w:rPr>
          <w:rFonts w:cs="Arial"/>
          <w:lang w:val="fr-FR"/>
        </w:rPr>
        <w:t>Pour ce qui est de l’accessibilité des transports, cette exigence figurait déjà dans la loi de 1975 d’orientation en faveur des personnes handicapées (article 52, abrogé). La loi de 2005 disposait que la chaîne de déplacement devait être organisée pour permettre son « accessibilité dans sa totalité » aux personnes handicapées.</w:t>
      </w:r>
    </w:p>
    <w:p w:rsidRPr="00A86354" w:rsidR="008F0D0E" w:rsidP="008F0D0E" w:rsidRDefault="008F0D0E" w14:paraId="6E930BB8" w14:textId="77777777">
      <w:pPr>
        <w:ind w:left="360" w:hanging="360"/>
        <w:rPr>
          <w:rFonts w:ascii="Arial" w:hAnsi="Arial" w:cs="Arial"/>
          <w:lang w:val="fr-FR"/>
        </w:rPr>
      </w:pPr>
    </w:p>
    <w:p w:rsidRPr="00A86354" w:rsidR="00FF35A4" w:rsidP="00CE016A" w:rsidRDefault="00FF47AF" w14:paraId="46A20B76" w14:textId="33483DF3">
      <w:pPr>
        <w:pStyle w:val="ListParagraph"/>
        <w:numPr>
          <w:ilvl w:val="0"/>
          <w:numId w:val="1"/>
        </w:numPr>
        <w:ind w:left="0" w:firstLine="0"/>
        <w:rPr>
          <w:rFonts w:cs="Arial"/>
          <w:lang w:val="fr-FR"/>
        </w:rPr>
      </w:pPr>
      <w:r w:rsidRPr="00A86354">
        <w:rPr>
          <w:rFonts w:cs="Arial"/>
          <w:lang w:val="fr-FR"/>
        </w:rPr>
        <w:t xml:space="preserve">Le Comité note néanmoins que l’ordonnance n° 2014-1090 a limité la portée des obligations de mise en accessibilité aux points d’arrêt prioritaires. Comme l’observe la Défenseure des droits, désormais, l’obligation d’accessibilité des services de transport est remplie par l’aménagement de quelques points d’arrêt considérés comme « prioritaires », les autres n’étant pas tenus d’être rendus accessibles. </w:t>
      </w:r>
      <w:r w:rsidRPr="00A86354" w:rsidR="00FF35A4">
        <w:rPr>
          <w:rFonts w:cs="Arial"/>
          <w:lang w:val="fr-FR"/>
        </w:rPr>
        <w:t>L</w:t>
      </w:r>
      <w:r w:rsidRPr="00A86354">
        <w:rPr>
          <w:rFonts w:cs="Arial"/>
          <w:lang w:val="fr-FR"/>
        </w:rPr>
        <w:t>e délai de 10 ans accordé pour la mise en accessibilité a fait place à un « schéma directeur d’accessibilité-agenda d’accessibilité programmée » (Sd’AP), qui comporte une analyse des actions nécessaires à la mise en accessibilité des services et qui prévoit les modalités et la programmation de la réalisation de ces actions ainsi que le financement correspondant.</w:t>
      </w:r>
      <w:r w:rsidRPr="00A86354">
        <w:rPr>
          <w:lang w:val="fr-FR"/>
        </w:rPr>
        <w:t xml:space="preserve"> </w:t>
      </w:r>
      <w:r w:rsidRPr="00A86354">
        <w:rPr>
          <w:rFonts w:cs="Arial"/>
          <w:lang w:val="fr-FR"/>
        </w:rPr>
        <w:t>Le Comité note toutefois que les prestataires de services ne sont pas tenus de présenter un Sd’AP (selon le mémoire du Gouvernement) et qu’aucune sanction n’est prévue dans la réglementation en cas d’inapplication des Sd’AP.</w:t>
      </w:r>
      <w:r w:rsidRPr="00A86354" w:rsidR="00FF35A4">
        <w:rPr>
          <w:rFonts w:cs="Arial"/>
          <w:lang w:val="fr-FR"/>
        </w:rPr>
        <w:t xml:space="preserve"> Il est donc clair qu'il y a des problèmes importants en cours en ce qui concerne l'accès effectif aux transports publics pour les personnes handicapées.   </w:t>
      </w:r>
    </w:p>
    <w:p w:rsidRPr="00A86354" w:rsidR="00FF35A4" w:rsidP="00FF35A4" w:rsidRDefault="00FF35A4" w14:paraId="67E128CB" w14:textId="43E6DAC6">
      <w:pPr>
        <w:rPr>
          <w:rFonts w:cs="Arial"/>
          <w:lang w:val="fr-FR"/>
        </w:rPr>
      </w:pPr>
    </w:p>
    <w:p w:rsidR="003E6AC0" w:rsidP="00CE016A" w:rsidRDefault="00FF35A4" w14:paraId="11ED81EB" w14:textId="77777777">
      <w:pPr>
        <w:numPr>
          <w:ilvl w:val="0"/>
          <w:numId w:val="1"/>
        </w:numPr>
        <w:ind w:left="0" w:firstLine="0"/>
        <w:rPr>
          <w:rFonts w:ascii="Arial" w:hAnsi="Arial" w:cs="Arial"/>
          <w:lang w:val="fr-FR"/>
        </w:rPr>
      </w:pPr>
      <w:r w:rsidRPr="00A86354">
        <w:rPr>
          <w:rFonts w:ascii="Arial" w:hAnsi="Arial" w:cs="Arial"/>
          <w:lang w:val="fr-FR"/>
        </w:rPr>
        <w:lastRenderedPageBreak/>
        <w:t>En résumé, le Comité prend note des efforts du Gouvernement pour trouver des solutions afin de rendre les bâtiments et installations, les transports et les logements plus accessibles aux personnes handicapées. Toutefois, le Comité estime que, bien que le principe de l'accessibilité des transports publics et des bâtiments et installations ouverts au public et le principe de l'accessibilité des logements soient prévus par la législation depuis 1975 et 2005 respectivement, les autorités n'ont pas adopté de mesures efficaces dans un délai raisonnable en ce qui concerne l'accessibilité des bâtiments et installations, logements et des transports publics. La situation est donc en violation de l'article 15§3 de la Charte à cet égard.</w:t>
      </w:r>
      <w:r w:rsidRPr="003E6AC0" w:rsidR="003E6AC0">
        <w:rPr>
          <w:rFonts w:ascii="Arial" w:hAnsi="Arial" w:cs="Arial"/>
          <w:lang w:val="fr-FR"/>
        </w:rPr>
        <w:t xml:space="preserve"> </w:t>
      </w:r>
    </w:p>
    <w:p w:rsidR="003E6AC0" w:rsidP="003E6AC0" w:rsidRDefault="003E6AC0" w14:paraId="5F9DCC7E" w14:textId="77777777">
      <w:pPr>
        <w:pStyle w:val="ListParagraph"/>
        <w:rPr>
          <w:rFonts w:cs="Arial"/>
          <w:lang w:val="fr-FR"/>
        </w:rPr>
      </w:pPr>
    </w:p>
    <w:p w:rsidRPr="00A86354" w:rsidR="00FF35A4" w:rsidP="00CE016A" w:rsidRDefault="003E6AC0" w14:paraId="21D24A84" w14:textId="28BA1769">
      <w:pPr>
        <w:numPr>
          <w:ilvl w:val="0"/>
          <w:numId w:val="1"/>
        </w:numPr>
        <w:ind w:left="0" w:firstLine="0"/>
        <w:rPr>
          <w:rFonts w:ascii="Arial" w:hAnsi="Arial" w:cs="Arial"/>
          <w:lang w:val="fr-FR"/>
        </w:rPr>
      </w:pPr>
      <w:r w:rsidRPr="003E6AC0">
        <w:rPr>
          <w:rFonts w:ascii="Arial" w:hAnsi="Arial" w:cs="Arial"/>
          <w:lang w:val="fr-FR"/>
        </w:rPr>
        <w:t>Le Comité dit</w:t>
      </w:r>
      <w:r>
        <w:rPr>
          <w:rFonts w:ascii="Arial" w:hAnsi="Arial" w:cs="Arial"/>
          <w:lang w:val="fr-FR"/>
        </w:rPr>
        <w:t>,</w:t>
      </w:r>
      <w:r w:rsidRPr="003E6AC0">
        <w:rPr>
          <w:rFonts w:ascii="Arial" w:hAnsi="Arial" w:cs="Arial"/>
          <w:lang w:val="fr-FR"/>
        </w:rPr>
        <w:t xml:space="preserve"> par conséquent</w:t>
      </w:r>
      <w:r>
        <w:rPr>
          <w:rFonts w:ascii="Arial" w:hAnsi="Arial" w:cs="Arial"/>
          <w:lang w:val="fr-FR"/>
        </w:rPr>
        <w:t>,</w:t>
      </w:r>
      <w:r w:rsidRPr="003E6AC0">
        <w:rPr>
          <w:rFonts w:ascii="Arial" w:hAnsi="Arial" w:cs="Arial"/>
          <w:lang w:val="fr-FR"/>
        </w:rPr>
        <w:t xml:space="preserve"> que la situation est en violation de l'article 15§3 de la Charte à cet égard</w:t>
      </w:r>
      <w:r>
        <w:rPr>
          <w:rFonts w:ascii="Arial" w:hAnsi="Arial" w:cs="Arial"/>
          <w:lang w:val="fr-FR"/>
        </w:rPr>
        <w:t>.</w:t>
      </w:r>
    </w:p>
    <w:p w:rsidRPr="00A86354" w:rsidR="003E6AC0" w:rsidP="00FF47AF" w:rsidRDefault="003E6AC0" w14:paraId="6D519DA1" w14:textId="77777777">
      <w:pPr>
        <w:rPr>
          <w:rFonts w:ascii="Arial" w:hAnsi="Arial" w:cs="Arial"/>
          <w:i/>
          <w:iCs/>
          <w:lang w:val="fr-FR"/>
        </w:rPr>
      </w:pPr>
    </w:p>
    <w:p w:rsidRPr="00A86354" w:rsidR="00FF47AF" w:rsidP="00FF47AF" w:rsidRDefault="00FF47AF" w14:paraId="2EB1BFC2" w14:textId="77777777">
      <w:pPr>
        <w:pStyle w:val="ListParagraph"/>
        <w:rPr>
          <w:rFonts w:cs="Arial"/>
          <w:b/>
          <w:bCs/>
          <w:i/>
          <w:iCs/>
          <w:lang w:val="fr-FR"/>
        </w:rPr>
      </w:pPr>
      <w:r w:rsidRPr="00A86354">
        <w:rPr>
          <w:rFonts w:cs="Arial"/>
          <w:b/>
          <w:bCs/>
          <w:i/>
          <w:iCs/>
          <w:lang w:val="fr-FR"/>
        </w:rPr>
        <w:t>Politique coordonnée en vue de l’intégration sociale et de la participation à la vie de la communauté</w:t>
      </w:r>
    </w:p>
    <w:p w:rsidRPr="00A86354" w:rsidR="008F0D0E" w:rsidP="008F0D0E" w:rsidRDefault="008F0D0E" w14:paraId="22C5E150" w14:textId="77777777">
      <w:pPr>
        <w:ind w:left="360" w:hanging="360"/>
        <w:rPr>
          <w:rFonts w:ascii="Arial" w:hAnsi="Arial" w:cs="Arial"/>
          <w:lang w:val="fr-FR"/>
        </w:rPr>
      </w:pPr>
    </w:p>
    <w:p w:rsidRPr="00A86354" w:rsidR="00FF47AF" w:rsidP="00CE016A" w:rsidRDefault="00FF47AF" w14:paraId="15893823" w14:textId="67126B6D">
      <w:pPr>
        <w:pStyle w:val="ListParagraph"/>
        <w:numPr>
          <w:ilvl w:val="0"/>
          <w:numId w:val="1"/>
        </w:numPr>
        <w:ind w:left="0" w:firstLine="0"/>
        <w:rPr>
          <w:rFonts w:cs="Arial"/>
          <w:lang w:val="fr-FR"/>
        </w:rPr>
      </w:pPr>
      <w:r w:rsidRPr="00A86354">
        <w:rPr>
          <w:rFonts w:cs="Arial"/>
          <w:lang w:val="fr-FR"/>
        </w:rPr>
        <w:t>Le Comité relève dans le mémoire du Gouvernement que, conformément à l’engagement pris lors de l’élection présidentielle de 2017, les droits des personnes handicapées sont devenus une priorité du quinquennat, comme l’illustre le rattachement du Secrétariat d’État chargé des personnes handicapées au Premier ministre.</w:t>
      </w:r>
      <w:r w:rsidRPr="00A86354">
        <w:rPr>
          <w:lang w:val="fr-FR"/>
        </w:rPr>
        <w:t xml:space="preserve"> </w:t>
      </w:r>
      <w:r w:rsidRPr="00A86354">
        <w:rPr>
          <w:rFonts w:cs="Arial"/>
          <w:lang w:val="fr-FR"/>
        </w:rPr>
        <w:t>Il considère</w:t>
      </w:r>
      <w:r w:rsidRPr="00A86354" w:rsidR="00EB0816">
        <w:rPr>
          <w:rFonts w:cs="Arial"/>
          <w:lang w:val="fr-FR"/>
        </w:rPr>
        <w:t xml:space="preserve"> également</w:t>
      </w:r>
      <w:r w:rsidRPr="00A86354">
        <w:rPr>
          <w:rFonts w:cs="Arial"/>
          <w:lang w:val="fr-FR"/>
        </w:rPr>
        <w:t xml:space="preserve"> que la « feuille de route relative au handicap » sur </w:t>
      </w:r>
      <w:r w:rsidRPr="00A86354" w:rsidR="00EB0816">
        <w:rPr>
          <w:rFonts w:cs="Arial"/>
          <w:lang w:val="fr-FR"/>
        </w:rPr>
        <w:t>cinq ans, adoptés</w:t>
      </w:r>
      <w:r w:rsidRPr="00A86354">
        <w:rPr>
          <w:rFonts w:cs="Arial"/>
          <w:lang w:val="fr-FR"/>
        </w:rPr>
        <w:t xml:space="preserve"> lors de la réunion du Comité interministériel du handicap du 20 septembre 2017</w:t>
      </w:r>
      <w:r w:rsidRPr="00A86354" w:rsidR="00EB0816">
        <w:rPr>
          <w:rFonts w:cs="Arial"/>
          <w:lang w:val="fr-FR"/>
        </w:rPr>
        <w:t>,</w:t>
      </w:r>
      <w:r w:rsidRPr="00A86354">
        <w:rPr>
          <w:rFonts w:cs="Arial"/>
          <w:lang w:val="fr-FR"/>
        </w:rPr>
        <w:t xml:space="preserve"> constitue une étape importante dans l’élaboration d’une politique globale du handicap.</w:t>
      </w:r>
    </w:p>
    <w:p w:rsidRPr="00A86354" w:rsidR="00FF47AF" w:rsidP="00FF47AF" w:rsidRDefault="00FF47AF" w14:paraId="4C3B562E" w14:textId="77777777">
      <w:pPr>
        <w:pStyle w:val="ListParagraph"/>
        <w:rPr>
          <w:rFonts w:cs="Arial"/>
          <w:lang w:val="fr-FR"/>
        </w:rPr>
      </w:pPr>
    </w:p>
    <w:p w:rsidRPr="00A86354" w:rsidR="00EB0816" w:rsidP="00CE016A" w:rsidRDefault="00FF47AF" w14:paraId="5FA97B63" w14:textId="03EF7F40">
      <w:pPr>
        <w:pStyle w:val="ListParagraph"/>
        <w:numPr>
          <w:ilvl w:val="0"/>
          <w:numId w:val="1"/>
        </w:numPr>
        <w:ind w:left="0" w:firstLine="0"/>
        <w:rPr>
          <w:rFonts w:cs="Arial"/>
          <w:lang w:val="fr-FR"/>
        </w:rPr>
      </w:pPr>
      <w:r w:rsidRPr="00A86354">
        <w:rPr>
          <w:rFonts w:cs="Arial"/>
          <w:lang w:val="fr-FR"/>
        </w:rPr>
        <w:t xml:space="preserve">Cela étant, le Comité est d’avis que, malgré les efforts déployés dans ce domaine, le manque de données et de statistiques fiables sur la situation des personnes handicapées en France, </w:t>
      </w:r>
      <w:r w:rsidRPr="00A86354" w:rsidR="00EB0816">
        <w:rPr>
          <w:rFonts w:cs="Arial"/>
          <w:lang w:val="fr-FR"/>
        </w:rPr>
        <w:t>indiqué par</w:t>
      </w:r>
      <w:r w:rsidRPr="00A86354">
        <w:rPr>
          <w:rFonts w:cs="Arial"/>
          <w:lang w:val="fr-FR"/>
        </w:rPr>
        <w:t xml:space="preserve"> les organisations réclamantes mais auquel renvoient aussi les tiers intervenants, le Commissaire aux droits de l’homme (2015) et la Rapporteuse spéciale des Nations Unies (2019), semble constituer un problème majeur aux fins de l’élaboration et de la mise en œuvre efficace de politiques du handicap en faveur de l’intégration sociale et de la participation des personnes handicapées à la vie de la communauté.</w:t>
      </w:r>
    </w:p>
    <w:p w:rsidRPr="00A86354" w:rsidR="00EB0816" w:rsidP="00EB0816" w:rsidRDefault="00EB0816" w14:paraId="15F17E83" w14:textId="77777777">
      <w:pPr>
        <w:pStyle w:val="ListParagraph"/>
        <w:rPr>
          <w:rFonts w:cs="Arial"/>
          <w:lang w:val="fr-FR"/>
        </w:rPr>
      </w:pPr>
    </w:p>
    <w:p w:rsidRPr="00A86354" w:rsidR="00FF47AF" w:rsidP="00CE016A" w:rsidRDefault="00EB0816" w14:paraId="31B928DB" w14:textId="0313426A">
      <w:pPr>
        <w:pStyle w:val="ListParagraph"/>
        <w:numPr>
          <w:ilvl w:val="0"/>
          <w:numId w:val="1"/>
        </w:numPr>
        <w:ind w:left="0" w:firstLine="0"/>
        <w:rPr>
          <w:rFonts w:cs="Arial"/>
          <w:lang w:val="fr-FR"/>
        </w:rPr>
      </w:pPr>
      <w:r w:rsidRPr="00A86354">
        <w:rPr>
          <w:rFonts w:cs="Arial"/>
          <w:lang w:val="fr-FR"/>
        </w:rPr>
        <w:t xml:space="preserve">Il considère en outre que l'absence d'une politique cohérente et coordonnée en matière de handicap dans ce domaine est révélée par une série de facteurs, notamment: la publication très tardive d'importants décrets relatifs à l'utilisation des </w:t>
      </w:r>
      <w:r w:rsidRPr="00A86354" w:rsidR="006267DD">
        <w:rPr>
          <w:rFonts w:cs="Arial"/>
          <w:lang w:val="fr-FR"/>
        </w:rPr>
        <w:t>« </w:t>
      </w:r>
      <w:r w:rsidRPr="00A86354">
        <w:rPr>
          <w:rFonts w:cs="Arial"/>
          <w:lang w:val="fr-FR"/>
        </w:rPr>
        <w:t>fonds départementaux de compensation</w:t>
      </w:r>
      <w:r w:rsidRPr="00A86354" w:rsidR="006267DD">
        <w:rPr>
          <w:rFonts w:cs="Arial"/>
          <w:lang w:val="fr-FR"/>
        </w:rPr>
        <w:t> »</w:t>
      </w:r>
      <w:r w:rsidRPr="00A86354">
        <w:rPr>
          <w:rFonts w:cs="Arial"/>
          <w:lang w:val="fr-FR"/>
        </w:rPr>
        <w:t xml:space="preserve"> (décret du 25 avril 2022) pour couvrir le reste à charge des aides à la personne et des aides techniques (voir, </w:t>
      </w:r>
      <w:r w:rsidR="003E6AC0">
        <w:rPr>
          <w:rFonts w:cs="Arial"/>
          <w:lang w:val="fr-FR"/>
        </w:rPr>
        <w:t>par.</w:t>
      </w:r>
      <w:r w:rsidRPr="00A86354">
        <w:rPr>
          <w:rFonts w:cs="Arial"/>
          <w:lang w:val="fr-FR"/>
        </w:rPr>
        <w:t xml:space="preserve"> 1</w:t>
      </w:r>
      <w:r w:rsidRPr="00A86354" w:rsidR="006267DD">
        <w:rPr>
          <w:rFonts w:cs="Arial"/>
          <w:lang w:val="fr-FR"/>
        </w:rPr>
        <w:t>41</w:t>
      </w:r>
      <w:r w:rsidRPr="00A86354">
        <w:rPr>
          <w:rFonts w:cs="Arial"/>
          <w:lang w:val="fr-FR"/>
        </w:rPr>
        <w:t xml:space="preserve"> ci-dessus); l'absence de solutions à des problèmes anciens, tels que l'accueil de jeunes adultes dans les services de l'enfance, faute de solution alternative (voir, </w:t>
      </w:r>
      <w:r w:rsidR="003E6AC0">
        <w:rPr>
          <w:rFonts w:cs="Arial"/>
          <w:lang w:val="fr-FR"/>
        </w:rPr>
        <w:t>par.</w:t>
      </w:r>
      <w:r w:rsidRPr="00A86354">
        <w:rPr>
          <w:rFonts w:cs="Arial"/>
          <w:lang w:val="fr-FR"/>
        </w:rPr>
        <w:t xml:space="preserve"> 6</w:t>
      </w:r>
      <w:r w:rsidRPr="00A86354" w:rsidR="006267DD">
        <w:rPr>
          <w:rFonts w:cs="Arial"/>
          <w:lang w:val="fr-FR"/>
        </w:rPr>
        <w:t>5</w:t>
      </w:r>
      <w:r w:rsidRPr="00A86354">
        <w:rPr>
          <w:rFonts w:cs="Arial"/>
          <w:lang w:val="fr-FR"/>
        </w:rPr>
        <w:t xml:space="preserve"> ci-dessus) ; et la poursuite des départs involontaires de personnes handicapées vers des établissements en Belgique en raison des carences des services d'accompagnement social et de l'offre médico-sociale en France.</w:t>
      </w:r>
    </w:p>
    <w:p w:rsidRPr="00A86354" w:rsidR="008F0D0E" w:rsidP="008F0D0E" w:rsidRDefault="008F0D0E" w14:paraId="7A4C4A13" w14:textId="77777777">
      <w:pPr>
        <w:ind w:left="360" w:hanging="360"/>
        <w:rPr>
          <w:rFonts w:ascii="Arial" w:hAnsi="Arial" w:cs="Arial"/>
          <w:lang w:val="fr-FR"/>
        </w:rPr>
      </w:pPr>
    </w:p>
    <w:p w:rsidRPr="00A86354" w:rsidR="00EB0816" w:rsidP="00CE016A" w:rsidRDefault="00EB0816" w14:paraId="38D2C297" w14:textId="1E9F3CA5">
      <w:pPr>
        <w:numPr>
          <w:ilvl w:val="0"/>
          <w:numId w:val="1"/>
        </w:numPr>
        <w:ind w:left="0" w:firstLine="0"/>
        <w:rPr>
          <w:rFonts w:ascii="Arial" w:hAnsi="Arial" w:cs="Arial"/>
          <w:lang w:val="fr-FR"/>
        </w:rPr>
      </w:pPr>
      <w:r w:rsidRPr="00A86354">
        <w:rPr>
          <w:rFonts w:ascii="Arial" w:hAnsi="Arial" w:cs="Arial"/>
          <w:lang w:val="fr-FR"/>
        </w:rPr>
        <w:t xml:space="preserve">Par conséquent, le Comité </w:t>
      </w:r>
      <w:r w:rsidRPr="00A86354" w:rsidR="006267DD">
        <w:rPr>
          <w:rFonts w:ascii="Arial" w:hAnsi="Arial" w:cs="Arial"/>
          <w:lang w:val="fr-FR"/>
        </w:rPr>
        <w:t xml:space="preserve">dit </w:t>
      </w:r>
      <w:r w:rsidRPr="00A86354">
        <w:rPr>
          <w:rFonts w:ascii="Arial" w:hAnsi="Arial" w:cs="Arial"/>
          <w:lang w:val="fr-FR"/>
        </w:rPr>
        <w:t xml:space="preserve">que le Gouvernement n'a pas adopté une politique coordonnée d'intégration sociale et de participation à la vie de la communauté comme l'exige l'article 15§3 et que la situation est donc en violation de l'article 15§3 à cet égard.  </w:t>
      </w:r>
    </w:p>
    <w:p w:rsidRPr="00A86354" w:rsidR="007778D0" w:rsidP="007778D0" w:rsidRDefault="007778D0" w14:paraId="7DD5D13B" w14:textId="77777777">
      <w:pPr>
        <w:rPr>
          <w:rFonts w:ascii="Arial" w:hAnsi="Arial" w:cs="Arial"/>
          <w:lang w:val="fr-FR"/>
        </w:rPr>
      </w:pPr>
    </w:p>
    <w:p w:rsidRPr="00A86354" w:rsidR="00EB0816" w:rsidP="00CE016A" w:rsidRDefault="00EB0816" w14:paraId="7E940C12" w14:textId="5DE6469A">
      <w:pPr>
        <w:numPr>
          <w:ilvl w:val="0"/>
          <w:numId w:val="1"/>
        </w:numPr>
        <w:ind w:left="0" w:firstLine="0"/>
        <w:rPr>
          <w:rFonts w:ascii="Arial" w:hAnsi="Arial" w:cs="Arial"/>
          <w:lang w:val="fr-FR"/>
        </w:rPr>
      </w:pPr>
      <w:r w:rsidRPr="00A86354">
        <w:rPr>
          <w:rFonts w:ascii="Arial" w:hAnsi="Arial" w:cs="Arial"/>
          <w:lang w:val="fr-FR"/>
        </w:rPr>
        <w:lastRenderedPageBreak/>
        <w:t xml:space="preserve">En conclusion, le Comité </w:t>
      </w:r>
      <w:r w:rsidRPr="00A86354" w:rsidR="006267DD">
        <w:rPr>
          <w:rFonts w:ascii="Arial" w:hAnsi="Arial" w:cs="Arial"/>
          <w:lang w:val="fr-FR"/>
        </w:rPr>
        <w:t xml:space="preserve">dit </w:t>
      </w:r>
      <w:r w:rsidRPr="00A86354">
        <w:rPr>
          <w:rFonts w:ascii="Arial" w:hAnsi="Arial" w:cs="Arial"/>
          <w:lang w:val="fr-FR"/>
        </w:rPr>
        <w:t>qu'il y a violation de l'article 15§3 de la Charte en raison du manquement des autorités : (i) à adopter des mesures efficaces dans un délai raisonnable en ce qui concerne l'accès aux services d'aide sociale et aux aides financières ; (ii) à adopter des mesures efficaces dans un délai raisonnable en ce qui concerne l'accessibilité des bâtiments et des installations ; (iii) à adopter des mesures efficaces dans un délai raisonnable en ce qui concerne l'accessibilité des transports publics ; (iv) à développer et à adopter une politique coordonnée pour l'intégration sociale et la participation à la vie de la communauté des personnes handicapées.</w:t>
      </w:r>
    </w:p>
    <w:p w:rsidRPr="00A86354" w:rsidR="008F0D0E" w:rsidP="008F0D0E" w:rsidRDefault="008F0D0E" w14:paraId="58341A48" w14:textId="09860C9F">
      <w:pPr>
        <w:ind w:left="360" w:hanging="360"/>
        <w:rPr>
          <w:rFonts w:ascii="Arial" w:hAnsi="Arial" w:cs="Arial"/>
          <w:lang w:val="fr-FR"/>
        </w:rPr>
      </w:pPr>
    </w:p>
    <w:p w:rsidRPr="00A86354" w:rsidR="006267DD" w:rsidP="00A86354" w:rsidRDefault="006267DD" w14:paraId="769EE5C8" w14:textId="77777777">
      <w:pPr>
        <w:ind w:left="360" w:hanging="360"/>
        <w:rPr>
          <w:rFonts w:ascii="Arial" w:hAnsi="Arial" w:cs="Arial"/>
          <w:lang w:val="fr-FR"/>
        </w:rPr>
      </w:pPr>
    </w:p>
    <w:p w:rsidRPr="00A86354" w:rsidR="004176EF" w:rsidP="00CE016A" w:rsidRDefault="004176EF" w14:paraId="79C629EA" w14:textId="07EAC6CB">
      <w:pPr>
        <w:pStyle w:val="ListParagraph"/>
        <w:numPr>
          <w:ilvl w:val="0"/>
          <w:numId w:val="3"/>
        </w:numPr>
        <w:ind w:left="709" w:hanging="709"/>
        <w:rPr>
          <w:rFonts w:cs="Arial"/>
          <w:b/>
          <w:bCs/>
          <w:lang w:val="fr-FR"/>
        </w:rPr>
      </w:pPr>
      <w:r w:rsidRPr="00A86354">
        <w:rPr>
          <w:rFonts w:cs="Arial"/>
          <w:b/>
          <w:bCs/>
          <w:lang w:val="fr-FR"/>
        </w:rPr>
        <w:t xml:space="preserve">VIOLATION </w:t>
      </w:r>
      <w:r w:rsidRPr="00A86354" w:rsidR="004C0EEB">
        <w:rPr>
          <w:rFonts w:cs="Arial"/>
          <w:b/>
          <w:bCs/>
          <w:lang w:val="fr-FR"/>
        </w:rPr>
        <w:t>ALLÉGUÉE DE L</w:t>
      </w:r>
      <w:r w:rsidRPr="00A86354" w:rsidR="0006032C">
        <w:rPr>
          <w:rFonts w:cs="Arial"/>
          <w:b/>
          <w:bCs/>
          <w:lang w:val="fr-FR"/>
        </w:rPr>
        <w:t>’</w:t>
      </w:r>
      <w:r w:rsidRPr="00A86354">
        <w:rPr>
          <w:rFonts w:cs="Arial"/>
          <w:b/>
          <w:bCs/>
          <w:lang w:val="fr-FR"/>
        </w:rPr>
        <w:t xml:space="preserve">ARTICLE 15§1 </w:t>
      </w:r>
      <w:r w:rsidRPr="00A86354" w:rsidR="00E97244">
        <w:rPr>
          <w:rFonts w:cs="Arial"/>
          <w:b/>
          <w:bCs/>
          <w:lang w:val="fr-FR"/>
        </w:rPr>
        <w:t>DE LA CHARTE</w:t>
      </w:r>
    </w:p>
    <w:p w:rsidRPr="00A86354" w:rsidR="00324D6A" w:rsidP="00A86354" w:rsidRDefault="00324D6A" w14:paraId="47F74391" w14:textId="34A45127">
      <w:pPr>
        <w:pStyle w:val="ListParagraph"/>
        <w:rPr>
          <w:rFonts w:cs="Arial"/>
          <w:lang w:val="fr-FR"/>
        </w:rPr>
      </w:pPr>
    </w:p>
    <w:p w:rsidRPr="00A86354" w:rsidR="004176EF" w:rsidP="00CE016A" w:rsidRDefault="004C0EEB" w14:paraId="1ECA1485" w14:textId="7BA9FA4D">
      <w:pPr>
        <w:pStyle w:val="ListParagraph"/>
        <w:numPr>
          <w:ilvl w:val="0"/>
          <w:numId w:val="1"/>
        </w:numPr>
        <w:ind w:left="0" w:firstLine="0"/>
        <w:rPr>
          <w:rFonts w:cs="Arial"/>
          <w:lang w:val="fr-FR"/>
        </w:rPr>
      </w:pPr>
      <w:r w:rsidRPr="00A86354">
        <w:rPr>
          <w:rFonts w:cs="Arial"/>
          <w:lang w:val="fr-FR"/>
        </w:rPr>
        <w:t>L</w:t>
      </w:r>
      <w:r w:rsidRPr="00A86354" w:rsidR="0006032C">
        <w:rPr>
          <w:rFonts w:cs="Arial"/>
          <w:lang w:val="fr-FR"/>
        </w:rPr>
        <w:t>’</w:t>
      </w:r>
      <w:r w:rsidRPr="00A86354">
        <w:rPr>
          <w:rFonts w:cs="Arial"/>
          <w:lang w:val="fr-FR"/>
        </w:rPr>
        <w:t>a</w:t>
      </w:r>
      <w:r w:rsidRPr="00A86354" w:rsidR="004176EF">
        <w:rPr>
          <w:rFonts w:cs="Arial"/>
          <w:lang w:val="fr-FR"/>
        </w:rPr>
        <w:t xml:space="preserve">rticle 15§1 </w:t>
      </w:r>
      <w:r w:rsidRPr="00A86354" w:rsidR="00E97244">
        <w:rPr>
          <w:rFonts w:cs="Arial"/>
          <w:lang w:val="fr-FR"/>
        </w:rPr>
        <w:t>de la Charte</w:t>
      </w:r>
      <w:r w:rsidRPr="00A86354" w:rsidR="004176EF">
        <w:rPr>
          <w:rFonts w:cs="Arial"/>
          <w:lang w:val="fr-FR"/>
        </w:rPr>
        <w:t xml:space="preserve"> </w:t>
      </w:r>
      <w:r w:rsidRPr="00A86354">
        <w:rPr>
          <w:rFonts w:cs="Arial"/>
          <w:lang w:val="fr-FR"/>
        </w:rPr>
        <w:t>dispose</w:t>
      </w:r>
      <w:r w:rsidRPr="00A86354" w:rsidR="000807D5">
        <w:rPr>
          <w:rFonts w:cs="Arial"/>
          <w:lang w:val="fr-FR"/>
        </w:rPr>
        <w:t> :</w:t>
      </w:r>
      <w:r w:rsidRPr="00A86354" w:rsidR="004176EF">
        <w:rPr>
          <w:rFonts w:cs="Arial"/>
          <w:lang w:val="fr-FR"/>
        </w:rPr>
        <w:t xml:space="preserve"> </w:t>
      </w:r>
    </w:p>
    <w:p w:rsidRPr="00A86354" w:rsidR="008F0D0E" w:rsidP="00A86354" w:rsidRDefault="008F0D0E" w14:paraId="67E0DCC0" w14:textId="77777777">
      <w:pPr>
        <w:ind w:left="360" w:hanging="360"/>
        <w:rPr>
          <w:rFonts w:ascii="Arial" w:hAnsi="Arial" w:cs="Arial"/>
          <w:lang w:val="fr-FR"/>
        </w:rPr>
      </w:pPr>
    </w:p>
    <w:p w:rsidRPr="00A86354" w:rsidR="004176EF" w:rsidP="00A86354" w:rsidRDefault="004176EF" w14:paraId="44389B73" w14:textId="662F78C8">
      <w:pPr>
        <w:ind w:left="709"/>
        <w:rPr>
          <w:rFonts w:ascii="Arial" w:hAnsi="Arial" w:cs="Arial"/>
          <w:b/>
          <w:bCs/>
          <w:sz w:val="20"/>
          <w:szCs w:val="20"/>
          <w:lang w:val="fr-FR"/>
        </w:rPr>
      </w:pPr>
      <w:r w:rsidRPr="00A86354">
        <w:rPr>
          <w:rFonts w:ascii="Arial" w:hAnsi="Arial" w:cs="Arial"/>
          <w:b/>
          <w:bCs/>
          <w:sz w:val="20"/>
          <w:szCs w:val="20"/>
          <w:lang w:val="fr-FR"/>
        </w:rPr>
        <w:t xml:space="preserve">Article 15 – </w:t>
      </w:r>
      <w:r w:rsidRPr="00A86354" w:rsidR="00EF5A9A">
        <w:rPr>
          <w:rFonts w:ascii="Arial" w:hAnsi="Arial" w:cs="Arial"/>
          <w:b/>
          <w:bCs/>
          <w:sz w:val="20"/>
          <w:szCs w:val="20"/>
          <w:lang w:val="fr-FR"/>
        </w:rPr>
        <w:t>Droit des personnes handicapées à l</w:t>
      </w:r>
      <w:r w:rsidRPr="00A86354" w:rsidR="0006032C">
        <w:rPr>
          <w:rFonts w:ascii="Arial" w:hAnsi="Arial" w:cs="Arial"/>
          <w:b/>
          <w:bCs/>
          <w:sz w:val="20"/>
          <w:szCs w:val="20"/>
          <w:lang w:val="fr-FR"/>
        </w:rPr>
        <w:t>’</w:t>
      </w:r>
      <w:r w:rsidRPr="00A86354" w:rsidR="00EF5A9A">
        <w:rPr>
          <w:rFonts w:ascii="Arial" w:hAnsi="Arial" w:cs="Arial"/>
          <w:b/>
          <w:bCs/>
          <w:sz w:val="20"/>
          <w:szCs w:val="20"/>
          <w:lang w:val="fr-FR"/>
        </w:rPr>
        <w:t>autonomie, à l</w:t>
      </w:r>
      <w:r w:rsidRPr="00A86354" w:rsidR="0006032C">
        <w:rPr>
          <w:rFonts w:ascii="Arial" w:hAnsi="Arial" w:cs="Arial"/>
          <w:b/>
          <w:bCs/>
          <w:sz w:val="20"/>
          <w:szCs w:val="20"/>
          <w:lang w:val="fr-FR"/>
        </w:rPr>
        <w:t>’</w:t>
      </w:r>
      <w:r w:rsidRPr="00A86354" w:rsidR="00EF5A9A">
        <w:rPr>
          <w:rFonts w:ascii="Arial" w:hAnsi="Arial" w:cs="Arial"/>
          <w:b/>
          <w:bCs/>
          <w:sz w:val="20"/>
          <w:szCs w:val="20"/>
          <w:lang w:val="fr-FR"/>
        </w:rPr>
        <w:t>intégration sociale et</w:t>
      </w:r>
      <w:r w:rsidRPr="00A86354" w:rsidR="000F5035">
        <w:rPr>
          <w:rFonts w:ascii="Arial" w:hAnsi="Arial" w:cs="Arial"/>
          <w:b/>
          <w:bCs/>
          <w:sz w:val="20"/>
          <w:szCs w:val="20"/>
          <w:lang w:val="fr-FR"/>
        </w:rPr>
        <w:t xml:space="preserve"> </w:t>
      </w:r>
      <w:r w:rsidRPr="00A86354" w:rsidR="00EF5A9A">
        <w:rPr>
          <w:rFonts w:ascii="Arial" w:hAnsi="Arial" w:cs="Arial"/>
          <w:b/>
          <w:bCs/>
          <w:sz w:val="20"/>
          <w:szCs w:val="20"/>
          <w:lang w:val="fr-FR"/>
        </w:rPr>
        <w:t>à la participation à la vie de la communauté</w:t>
      </w:r>
    </w:p>
    <w:p w:rsidRPr="00A86354" w:rsidR="006267DD" w:rsidP="00A86354" w:rsidRDefault="006267DD" w14:paraId="2011CBF5" w14:textId="77777777">
      <w:pPr>
        <w:ind w:left="709"/>
        <w:rPr>
          <w:rFonts w:ascii="Arial" w:hAnsi="Arial" w:cs="Arial"/>
          <w:sz w:val="20"/>
          <w:szCs w:val="20"/>
          <w:lang w:val="fr-FR"/>
        </w:rPr>
      </w:pPr>
      <w:r w:rsidRPr="00A86354">
        <w:rPr>
          <w:rFonts w:ascii="Arial" w:hAnsi="Arial" w:cs="Arial"/>
          <w:sz w:val="20"/>
          <w:szCs w:val="20"/>
          <w:lang w:val="fr-FR"/>
        </w:rPr>
        <w:t> </w:t>
      </w:r>
    </w:p>
    <w:p w:rsidRPr="00A86354" w:rsidR="006267DD" w:rsidP="00A86354" w:rsidRDefault="006267DD" w14:paraId="65CA4354" w14:textId="77777777">
      <w:pPr>
        <w:ind w:left="709"/>
        <w:rPr>
          <w:rFonts w:ascii="Arial" w:hAnsi="Arial" w:cs="Arial"/>
          <w:sz w:val="20"/>
          <w:szCs w:val="20"/>
          <w:lang w:val="fr-FR"/>
        </w:rPr>
      </w:pPr>
      <w:r w:rsidRPr="00A86354">
        <w:rPr>
          <w:rFonts w:ascii="Arial" w:hAnsi="Arial" w:cs="Arial"/>
          <w:sz w:val="20"/>
          <w:szCs w:val="20"/>
          <w:lang w:val="fr-FR"/>
        </w:rPr>
        <w:t>« Partie I : Toute personne handicapée a droit à l'autonomie, à l'intégration sociale et à la participation à la vie de la communauté. »</w:t>
      </w:r>
    </w:p>
    <w:p w:rsidRPr="00A86354" w:rsidR="006267DD" w:rsidP="00A86354" w:rsidRDefault="006267DD" w14:paraId="1B85D8BE" w14:textId="77777777">
      <w:pPr>
        <w:ind w:left="709"/>
        <w:rPr>
          <w:rFonts w:ascii="Arial" w:hAnsi="Arial" w:cs="Arial"/>
          <w:sz w:val="20"/>
          <w:szCs w:val="20"/>
          <w:lang w:val="fr-FR"/>
        </w:rPr>
      </w:pPr>
      <w:r w:rsidRPr="00A86354">
        <w:rPr>
          <w:rFonts w:ascii="Arial" w:hAnsi="Arial" w:cs="Arial"/>
          <w:sz w:val="20"/>
          <w:szCs w:val="20"/>
          <w:lang w:val="fr-FR"/>
        </w:rPr>
        <w:t> </w:t>
      </w:r>
    </w:p>
    <w:p w:rsidRPr="00A86354" w:rsidR="006267DD" w:rsidP="00A86354" w:rsidRDefault="006267DD" w14:paraId="78D8A1B9" w14:textId="77777777">
      <w:pPr>
        <w:ind w:left="709"/>
        <w:rPr>
          <w:rFonts w:ascii="Arial" w:hAnsi="Arial" w:cs="Arial"/>
          <w:sz w:val="20"/>
          <w:szCs w:val="20"/>
          <w:lang w:val="fr-FR"/>
        </w:rPr>
      </w:pPr>
      <w:r w:rsidRPr="00A86354">
        <w:rPr>
          <w:rFonts w:ascii="Arial" w:hAnsi="Arial" w:cs="Arial"/>
          <w:sz w:val="20"/>
          <w:szCs w:val="20"/>
          <w:lang w:val="fr-FR"/>
        </w:rPr>
        <w:t xml:space="preserve">« Partie II : « En vue de garantir aux personnes handicapées, quel que soit leur âge, la nature et l'origine de leur handicap, l'exercice effectif du droit à l'autonomie, à l'intégration sociale et à la participation à la vie de la communauté, les Parties s'engagent notamment : </w:t>
      </w:r>
    </w:p>
    <w:p w:rsidRPr="00A86354" w:rsidR="004176EF" w:rsidP="00A86354" w:rsidRDefault="004176EF" w14:paraId="7FF2E65C" w14:textId="247C61D1">
      <w:pPr>
        <w:ind w:left="709"/>
        <w:rPr>
          <w:rFonts w:ascii="Arial" w:hAnsi="Arial" w:cs="Arial"/>
          <w:sz w:val="20"/>
          <w:szCs w:val="20"/>
          <w:lang w:val="fr-FR"/>
        </w:rPr>
      </w:pPr>
    </w:p>
    <w:p w:rsidRPr="00A86354" w:rsidR="006267DD" w:rsidP="006267DD" w:rsidRDefault="004176EF" w14:paraId="3B5AE2BD" w14:textId="77777777">
      <w:pPr>
        <w:ind w:left="709"/>
        <w:rPr>
          <w:rFonts w:ascii="Arial" w:hAnsi="Arial" w:cs="Arial"/>
          <w:sz w:val="20"/>
          <w:szCs w:val="20"/>
          <w:lang w:val="fr-FR"/>
        </w:rPr>
      </w:pPr>
      <w:r w:rsidRPr="00A86354">
        <w:rPr>
          <w:rFonts w:ascii="Arial" w:hAnsi="Arial" w:cs="Arial"/>
          <w:sz w:val="20"/>
          <w:szCs w:val="20"/>
          <w:lang w:val="fr-FR"/>
        </w:rPr>
        <w:t>1</w:t>
      </w:r>
      <w:r w:rsidRPr="00A86354" w:rsidR="00EF5A9A">
        <w:rPr>
          <w:rFonts w:ascii="Arial" w:hAnsi="Arial" w:cs="Arial"/>
          <w:sz w:val="20"/>
          <w:szCs w:val="20"/>
          <w:lang w:val="fr-FR"/>
        </w:rPr>
        <w:t>.</w:t>
      </w:r>
      <w:r w:rsidRPr="00A86354">
        <w:rPr>
          <w:rFonts w:ascii="Arial" w:hAnsi="Arial" w:cs="Arial"/>
          <w:sz w:val="20"/>
          <w:szCs w:val="20"/>
          <w:lang w:val="fr-FR"/>
        </w:rPr>
        <w:t xml:space="preserve"> </w:t>
      </w:r>
      <w:r w:rsidRPr="00A86354" w:rsidR="00EF5A9A">
        <w:rPr>
          <w:rFonts w:ascii="Arial" w:hAnsi="Arial" w:cs="Arial"/>
          <w:sz w:val="20"/>
          <w:szCs w:val="20"/>
          <w:lang w:val="fr-FR"/>
        </w:rPr>
        <w:t>à prendre les mesures nécessaires pour fournir aux personnes handicapées une orientation, une éducation et une formation professionnelle dans le cadre du droit commun chaque fois que possible ou, si tel n</w:t>
      </w:r>
      <w:r w:rsidRPr="00A86354" w:rsidR="0006032C">
        <w:rPr>
          <w:rFonts w:ascii="Arial" w:hAnsi="Arial" w:cs="Arial"/>
          <w:sz w:val="20"/>
          <w:szCs w:val="20"/>
          <w:lang w:val="fr-FR"/>
        </w:rPr>
        <w:t>’</w:t>
      </w:r>
      <w:r w:rsidRPr="00A86354" w:rsidR="00EF5A9A">
        <w:rPr>
          <w:rFonts w:ascii="Arial" w:hAnsi="Arial" w:cs="Arial"/>
          <w:sz w:val="20"/>
          <w:szCs w:val="20"/>
          <w:lang w:val="fr-FR"/>
        </w:rPr>
        <w:t>est pas le cas, par le biais d</w:t>
      </w:r>
      <w:r w:rsidRPr="00A86354" w:rsidR="0006032C">
        <w:rPr>
          <w:rFonts w:ascii="Arial" w:hAnsi="Arial" w:cs="Arial"/>
          <w:sz w:val="20"/>
          <w:szCs w:val="20"/>
          <w:lang w:val="fr-FR"/>
        </w:rPr>
        <w:t>’</w:t>
      </w:r>
      <w:r w:rsidRPr="00A86354" w:rsidR="00EF5A9A">
        <w:rPr>
          <w:rFonts w:ascii="Arial" w:hAnsi="Arial" w:cs="Arial"/>
          <w:sz w:val="20"/>
          <w:szCs w:val="20"/>
          <w:lang w:val="fr-FR"/>
        </w:rPr>
        <w:t>institutions spécialisées publiques ou privées</w:t>
      </w:r>
      <w:r w:rsidRPr="00A86354" w:rsidR="000807D5">
        <w:rPr>
          <w:rFonts w:ascii="Arial" w:hAnsi="Arial" w:cs="Arial"/>
          <w:sz w:val="20"/>
          <w:szCs w:val="20"/>
          <w:lang w:val="fr-FR"/>
        </w:rPr>
        <w:t> ;</w:t>
      </w:r>
      <w:r w:rsidRPr="00A86354" w:rsidR="006267DD">
        <w:rPr>
          <w:rFonts w:ascii="Arial" w:hAnsi="Arial" w:cs="Arial"/>
          <w:sz w:val="20"/>
          <w:szCs w:val="20"/>
          <w:lang w:val="fr-FR"/>
        </w:rPr>
        <w:tab/>
      </w:r>
    </w:p>
    <w:p w:rsidRPr="00A86354" w:rsidR="006267DD" w:rsidP="006267DD" w:rsidRDefault="006267DD" w14:paraId="66C12EF2" w14:textId="77777777">
      <w:pPr>
        <w:ind w:left="709"/>
        <w:rPr>
          <w:rFonts w:ascii="Arial" w:hAnsi="Arial" w:cs="Arial"/>
          <w:sz w:val="20"/>
          <w:szCs w:val="20"/>
          <w:lang w:val="fr-FR"/>
        </w:rPr>
      </w:pPr>
    </w:p>
    <w:p w:rsidRPr="00A86354" w:rsidR="004176EF" w:rsidP="00A86354" w:rsidRDefault="006267DD" w14:paraId="52C15548" w14:textId="4E5EB849">
      <w:pPr>
        <w:ind w:left="709"/>
        <w:rPr>
          <w:rFonts w:ascii="Arial" w:hAnsi="Arial" w:cs="Arial"/>
          <w:sz w:val="20"/>
          <w:szCs w:val="20"/>
          <w:lang w:val="fr-FR"/>
        </w:rPr>
      </w:pPr>
      <w:r w:rsidRPr="00A86354">
        <w:rPr>
          <w:rFonts w:ascii="Arial" w:hAnsi="Arial" w:cs="Arial"/>
          <w:sz w:val="20"/>
          <w:szCs w:val="20"/>
          <w:lang w:val="fr-FR"/>
        </w:rPr>
        <w:t>[…]</w:t>
      </w:r>
      <w:r w:rsidRPr="00A86354" w:rsidR="000F5035">
        <w:rPr>
          <w:rFonts w:ascii="Arial" w:hAnsi="Arial" w:cs="Arial"/>
          <w:sz w:val="20"/>
          <w:szCs w:val="20"/>
          <w:lang w:val="fr-FR"/>
        </w:rPr>
        <w:t> »</w:t>
      </w:r>
    </w:p>
    <w:p w:rsidRPr="008F0D0E" w:rsidR="008F0D0E" w:rsidP="00A86354" w:rsidRDefault="008F0D0E" w14:paraId="1F10119E" w14:textId="77777777">
      <w:pPr>
        <w:ind w:left="360" w:hanging="360"/>
        <w:rPr>
          <w:rFonts w:ascii="Arial" w:hAnsi="Arial" w:cs="Arial"/>
          <w:lang w:val="fr-FR"/>
        </w:rPr>
      </w:pPr>
    </w:p>
    <w:p w:rsidRPr="00A86354" w:rsidR="00DB63D6" w:rsidP="00A86354" w:rsidRDefault="00DB63D6" w14:paraId="4370D8A2" w14:textId="07782F17">
      <w:pPr>
        <w:keepNext/>
        <w:keepLines/>
        <w:tabs>
          <w:tab w:val="left" w:pos="567"/>
          <w:tab w:val="left" w:pos="709"/>
        </w:tabs>
        <w:outlineLvl w:val="2"/>
        <w:rPr>
          <w:rFonts w:ascii="Arial" w:hAnsi="Arial" w:cs="Arial" w:eastAsiaTheme="majorEastAsia"/>
          <w:b/>
          <w:bCs/>
          <w:kern w:val="1"/>
          <w:szCs w:val="26"/>
          <w:lang w:val="fr-FR" w:eastAsia="ar-SA"/>
        </w:rPr>
      </w:pPr>
      <w:r w:rsidRPr="00A86354">
        <w:rPr>
          <w:rFonts w:ascii="Arial" w:hAnsi="Arial" w:eastAsia="Calibri" w:cs="Arial"/>
          <w:b/>
          <w:bCs/>
          <w:lang w:val="fr-FR"/>
        </w:rPr>
        <w:t xml:space="preserve">A – </w:t>
      </w:r>
      <w:r w:rsidRPr="00A86354" w:rsidR="00E97244">
        <w:rPr>
          <w:rFonts w:ascii="Arial" w:hAnsi="Arial" w:cs="Arial" w:eastAsiaTheme="majorEastAsia"/>
          <w:b/>
          <w:bCs/>
          <w:kern w:val="1"/>
          <w:szCs w:val="26"/>
          <w:lang w:val="fr-FR" w:eastAsia="ar-SA"/>
        </w:rPr>
        <w:t>Arguments</w:t>
      </w:r>
      <w:r w:rsidRPr="00A86354" w:rsidR="00543DD6">
        <w:rPr>
          <w:rFonts w:ascii="Arial" w:hAnsi="Arial" w:cs="Arial" w:eastAsiaTheme="majorEastAsia"/>
          <w:b/>
          <w:bCs/>
          <w:kern w:val="1"/>
          <w:szCs w:val="26"/>
          <w:lang w:val="fr-FR" w:eastAsia="ar-SA"/>
        </w:rPr>
        <w:t xml:space="preserve"> </w:t>
      </w:r>
      <w:r w:rsidRPr="00A86354" w:rsidR="00E97244">
        <w:rPr>
          <w:rFonts w:ascii="Arial" w:hAnsi="Arial" w:cs="Arial" w:eastAsiaTheme="majorEastAsia"/>
          <w:b/>
          <w:bCs/>
          <w:kern w:val="1"/>
          <w:szCs w:val="26"/>
          <w:lang w:val="fr-FR" w:eastAsia="ar-SA"/>
        </w:rPr>
        <w:t>des parties</w:t>
      </w:r>
    </w:p>
    <w:p w:rsidRPr="00A86354" w:rsidR="004176EF" w:rsidP="00A86354" w:rsidRDefault="004176EF" w14:paraId="4B7299D1" w14:textId="6051F6AB">
      <w:pPr>
        <w:pStyle w:val="ListParagraph"/>
        <w:rPr>
          <w:rFonts w:cs="Arial"/>
          <w:b/>
          <w:bCs/>
          <w:lang w:val="fr-FR"/>
        </w:rPr>
      </w:pPr>
    </w:p>
    <w:p w:rsidRPr="00A86354" w:rsidR="00CD251B" w:rsidP="00BA247B" w:rsidRDefault="00CD251B" w14:paraId="28FC8CC1" w14:textId="6B87ADE6">
      <w:pPr>
        <w:keepNext/>
        <w:keepLines/>
        <w:tabs>
          <w:tab w:val="left" w:pos="709"/>
        </w:tabs>
        <w:outlineLvl w:val="3"/>
        <w:rPr>
          <w:rFonts w:ascii="Arial" w:hAnsi="Arial" w:cs="Arial" w:eastAsiaTheme="majorEastAsia"/>
          <w:b/>
          <w:iCs/>
          <w:lang w:val="fr-FR"/>
        </w:rPr>
      </w:pPr>
      <w:r w:rsidRPr="00A86354">
        <w:rPr>
          <w:rFonts w:ascii="Arial" w:hAnsi="Arial" w:cs="Arial" w:eastAsiaTheme="majorEastAsia"/>
          <w:b/>
          <w:iCs/>
          <w:lang w:val="fr-FR"/>
        </w:rPr>
        <w:t>1.</w:t>
      </w:r>
      <w:r w:rsidRPr="00A86354">
        <w:rPr>
          <w:rFonts w:ascii="Arial" w:hAnsi="Arial" w:cs="Arial" w:eastAsiaTheme="majorEastAsia"/>
          <w:b/>
          <w:iCs/>
          <w:lang w:val="fr-FR"/>
        </w:rPr>
        <w:tab/>
      </w:r>
      <w:r w:rsidRPr="00A86354" w:rsidR="00E97244">
        <w:rPr>
          <w:rFonts w:ascii="Arial" w:hAnsi="Arial" w:cs="Arial" w:eastAsiaTheme="majorEastAsia"/>
          <w:b/>
          <w:iCs/>
          <w:lang w:val="fr-FR"/>
        </w:rPr>
        <w:t xml:space="preserve">Les organisations </w:t>
      </w:r>
      <w:r w:rsidRPr="00A86354" w:rsidR="00BA247B">
        <w:rPr>
          <w:rFonts w:ascii="Arial" w:hAnsi="Arial" w:cs="Arial" w:eastAsiaTheme="majorEastAsia"/>
          <w:b/>
          <w:bCs/>
          <w:iCs/>
          <w:lang w:val="fr-FR"/>
        </w:rPr>
        <w:t>auteurs de la réclamation</w:t>
      </w:r>
      <w:r w:rsidRPr="00A86354" w:rsidDel="00D047BA" w:rsidR="00BA247B">
        <w:rPr>
          <w:rFonts w:ascii="Arial" w:hAnsi="Arial" w:cs="Arial" w:eastAsiaTheme="majorEastAsia"/>
          <w:b/>
          <w:iCs/>
          <w:lang w:val="fr-FR"/>
        </w:rPr>
        <w:t xml:space="preserve"> </w:t>
      </w:r>
    </w:p>
    <w:p w:rsidRPr="00A86354" w:rsidR="00DB63D6" w:rsidP="00A86354" w:rsidRDefault="00DB63D6" w14:paraId="5BC02ADA" w14:textId="77777777">
      <w:pPr>
        <w:pStyle w:val="ListParagraph"/>
        <w:rPr>
          <w:rFonts w:cs="Arial"/>
          <w:lang w:val="fr-FR"/>
        </w:rPr>
      </w:pPr>
    </w:p>
    <w:p w:rsidRPr="00A86354" w:rsidR="007778D0" w:rsidP="00CE016A" w:rsidRDefault="007778D0" w14:paraId="606FD059" w14:textId="2DA34A3B">
      <w:pPr>
        <w:pStyle w:val="ListParagraph"/>
        <w:numPr>
          <w:ilvl w:val="0"/>
          <w:numId w:val="1"/>
        </w:numPr>
        <w:ind w:left="0" w:firstLine="0"/>
        <w:rPr>
          <w:rFonts w:cs="Arial"/>
          <w:lang w:val="fr-FR"/>
        </w:rPr>
      </w:pPr>
      <w:r w:rsidRPr="00A86354">
        <w:rPr>
          <w:rFonts w:cs="Arial"/>
          <w:lang w:val="fr-FR"/>
        </w:rPr>
        <w:t xml:space="preserve">Selon EDF et Inclusion Europe, les difficultés d'accès à l'éducation pour les enfants handicapés reflètent l'absence d'une stratégie significative en matière de handicap en France. Les organisations réclamantes notent qu'une stratégie significative pour transformer les écoles ordinaires afin de les rendre inclusives pour tous, nécessite d'aborder la question des écoles inclusives dans son intégralité et sa complexité. Selon les organisations réclamantes, une telle stratégie devrait s'appuyer sur des chiffres fiables et envisager toutes les mesures nécessaires pour assurer le soutien de tous les étudiants handicapés. Cela inclut des mesures, </w:t>
      </w:r>
      <w:r w:rsidRPr="00A86354" w:rsidR="008E226E">
        <w:rPr>
          <w:rFonts w:cs="Arial"/>
          <w:lang w:val="fr-FR"/>
        </w:rPr>
        <w:t xml:space="preserve">appuyées </w:t>
      </w:r>
      <w:r w:rsidRPr="00A86354">
        <w:rPr>
          <w:rFonts w:cs="Arial"/>
          <w:lang w:val="fr-FR"/>
        </w:rPr>
        <w:t>par les ressources nécessaires, visant à garantir l'accès à l'éducation des enfants handicapés. Ces mesures comprennent la formation initiale et continue des enseignants et de tous les autres intervenants, ainsi que la sensibilisation de tous les acteurs du milieu scolaire au handicap.</w:t>
      </w:r>
    </w:p>
    <w:p w:rsidRPr="00A86354" w:rsidR="00904678" w:rsidP="00A86354" w:rsidRDefault="00904678" w14:paraId="33C3E10C" w14:textId="77777777">
      <w:pPr>
        <w:pStyle w:val="ListParagraph"/>
        <w:rPr>
          <w:rFonts w:cs="Arial"/>
          <w:lang w:val="fr-FR"/>
        </w:rPr>
      </w:pPr>
    </w:p>
    <w:p w:rsidRPr="00A86354" w:rsidR="00904678" w:rsidP="00F52A59" w:rsidRDefault="00EF5A9A" w14:paraId="7848B6F2" w14:textId="5B984C4B">
      <w:pPr>
        <w:pStyle w:val="ListParagraph"/>
        <w:numPr>
          <w:ilvl w:val="0"/>
          <w:numId w:val="1"/>
        </w:numPr>
        <w:ind w:left="0" w:firstLine="0"/>
        <w:rPr>
          <w:rFonts w:cs="Arial"/>
          <w:lang w:val="fr-FR"/>
        </w:rPr>
      </w:pPr>
      <w:r w:rsidRPr="00A86354">
        <w:rPr>
          <w:rFonts w:cs="Arial"/>
          <w:lang w:val="fr-FR"/>
        </w:rPr>
        <w:t>Selon EDF et Inclusion Europe</w:t>
      </w:r>
      <w:r w:rsidRPr="00A86354" w:rsidR="009A14DC">
        <w:rPr>
          <w:rFonts w:cs="Arial"/>
          <w:lang w:val="fr-FR"/>
        </w:rPr>
        <w:t xml:space="preserve">, </w:t>
      </w:r>
      <w:r w:rsidRPr="00A86354" w:rsidR="00CF48A8">
        <w:rPr>
          <w:rFonts w:cs="Arial"/>
          <w:lang w:val="fr-FR"/>
        </w:rPr>
        <w:t xml:space="preserve">les éléments mentionnés par le </w:t>
      </w:r>
      <w:r w:rsidRPr="00A86354" w:rsidR="00AE34AC">
        <w:rPr>
          <w:rFonts w:cs="Arial"/>
          <w:lang w:val="fr-FR"/>
        </w:rPr>
        <w:t>Gouvernement</w:t>
      </w:r>
      <w:r w:rsidRPr="00A86354" w:rsidR="00CF48A8">
        <w:rPr>
          <w:rFonts w:cs="Arial"/>
          <w:lang w:val="fr-FR"/>
        </w:rPr>
        <w:t xml:space="preserve"> dans son mémoire ne répondent pas à ces exigences, dès lors que </w:t>
      </w:r>
      <w:r w:rsidRPr="00A86354" w:rsidR="00961201">
        <w:rPr>
          <w:rFonts w:cs="Arial"/>
          <w:lang w:val="fr-FR"/>
        </w:rPr>
        <w:t>les mesures prévoient uniquement la création de classes spécialisées pour les élèves handicapés</w:t>
      </w:r>
      <w:r w:rsidRPr="00A86354" w:rsidR="007778D0">
        <w:rPr>
          <w:rFonts w:cs="Arial"/>
          <w:lang w:val="fr-FR"/>
        </w:rPr>
        <w:t>.</w:t>
      </w:r>
      <w:r w:rsidRPr="00A86354" w:rsidR="00961201">
        <w:rPr>
          <w:rFonts w:cs="Arial"/>
          <w:lang w:val="fr-FR"/>
        </w:rPr>
        <w:t xml:space="preserve"> </w:t>
      </w:r>
      <w:r w:rsidRPr="00A86354" w:rsidR="007778D0">
        <w:rPr>
          <w:rFonts w:cs="Arial"/>
          <w:lang w:val="fr-FR"/>
        </w:rPr>
        <w:t xml:space="preserve">Elles n'améliorent pas l'accessibilité universelle des écoles </w:t>
      </w:r>
      <w:r w:rsidRPr="00A86354" w:rsidR="007778D0">
        <w:rPr>
          <w:rFonts w:cs="Arial"/>
          <w:lang w:val="fr-FR"/>
        </w:rPr>
        <w:lastRenderedPageBreak/>
        <w:t>ordinaires</w:t>
      </w:r>
      <w:r w:rsidRPr="00A86354" w:rsidR="00560B4A">
        <w:rPr>
          <w:rFonts w:cs="Arial"/>
          <w:lang w:val="fr-FR"/>
        </w:rPr>
        <w:t>.</w:t>
      </w:r>
      <w:r w:rsidRPr="00A86354" w:rsidR="00961201">
        <w:rPr>
          <w:rFonts w:cs="Arial"/>
          <w:lang w:val="fr-FR"/>
        </w:rPr>
        <w:t xml:space="preserve"> </w:t>
      </w:r>
      <w:r w:rsidRPr="00A86354" w:rsidR="00E97244">
        <w:rPr>
          <w:rFonts w:cs="Arial"/>
          <w:lang w:val="fr-FR"/>
        </w:rPr>
        <w:t>Les organisations réclamantes</w:t>
      </w:r>
      <w:r w:rsidRPr="00A86354" w:rsidR="009D3B3E">
        <w:rPr>
          <w:rFonts w:cs="Arial"/>
          <w:lang w:val="fr-FR"/>
        </w:rPr>
        <w:t xml:space="preserve"> </w:t>
      </w:r>
      <w:r w:rsidRPr="00A86354" w:rsidR="00961201">
        <w:rPr>
          <w:rFonts w:cs="Arial"/>
          <w:lang w:val="fr-FR"/>
        </w:rPr>
        <w:t>font valoir que les</w:t>
      </w:r>
      <w:r w:rsidRPr="00A86354" w:rsidR="009D3B3E">
        <w:rPr>
          <w:rFonts w:cs="Arial"/>
          <w:lang w:val="fr-FR"/>
        </w:rPr>
        <w:t xml:space="preserve"> </w:t>
      </w:r>
      <w:r w:rsidRPr="00A86354" w:rsidR="00ED2438">
        <w:rPr>
          <w:rFonts w:cs="Arial"/>
          <w:lang w:val="fr-FR"/>
        </w:rPr>
        <w:t>problèmes</w:t>
      </w:r>
      <w:r w:rsidRPr="00A86354" w:rsidR="009D3B3E">
        <w:rPr>
          <w:rFonts w:cs="Arial"/>
          <w:lang w:val="fr-FR"/>
        </w:rPr>
        <w:t xml:space="preserve"> </w:t>
      </w:r>
      <w:r w:rsidRPr="00A86354" w:rsidR="0047225B">
        <w:rPr>
          <w:rFonts w:cs="Arial"/>
          <w:lang w:val="fr-FR"/>
        </w:rPr>
        <w:t>rencontrés dans la fourniture de services sociaux à toutes les personnes handicapées (pénurie de services et inadaptation des services existants) (voir plus haut</w:t>
      </w:r>
      <w:r w:rsidRPr="00A86354" w:rsidR="003C7D81">
        <w:rPr>
          <w:rFonts w:cs="Arial"/>
          <w:lang w:val="fr-FR"/>
        </w:rPr>
        <w:t xml:space="preserve"> </w:t>
      </w:r>
      <w:r w:rsidR="008532B8">
        <w:rPr>
          <w:rFonts w:cs="Arial"/>
          <w:lang w:val="fr-FR"/>
        </w:rPr>
        <w:t>par.</w:t>
      </w:r>
      <w:r w:rsidRPr="00A86354" w:rsidR="00E97726">
        <w:rPr>
          <w:rFonts w:cs="Arial"/>
          <w:lang w:val="fr-FR"/>
        </w:rPr>
        <w:t> </w:t>
      </w:r>
      <w:r w:rsidRPr="00A86354" w:rsidR="007778D0">
        <w:rPr>
          <w:rFonts w:cs="Arial"/>
          <w:lang w:val="fr-FR"/>
        </w:rPr>
        <w:t>12</w:t>
      </w:r>
      <w:r w:rsidRPr="00A86354" w:rsidR="008E226E">
        <w:rPr>
          <w:rFonts w:cs="Arial"/>
          <w:lang w:val="fr-FR"/>
        </w:rPr>
        <w:t>3</w:t>
      </w:r>
      <w:r w:rsidRPr="00A86354" w:rsidR="007778D0">
        <w:rPr>
          <w:rFonts w:cs="Arial"/>
          <w:lang w:val="fr-FR"/>
        </w:rPr>
        <w:t xml:space="preserve"> </w:t>
      </w:r>
      <w:r w:rsidRPr="00A86354" w:rsidR="007778D0">
        <w:rPr>
          <w:rFonts w:cs="Arial"/>
          <w:i/>
          <w:iCs/>
          <w:lang w:val="fr-FR"/>
        </w:rPr>
        <w:t xml:space="preserve">et </w:t>
      </w:r>
      <w:proofErr w:type="spellStart"/>
      <w:r w:rsidRPr="00A86354" w:rsidR="007778D0">
        <w:rPr>
          <w:rFonts w:cs="Arial"/>
          <w:i/>
          <w:iCs/>
          <w:lang w:val="fr-FR"/>
        </w:rPr>
        <w:t>seq</w:t>
      </w:r>
      <w:proofErr w:type="spellEnd"/>
      <w:r w:rsidRPr="00A86354" w:rsidR="007778D0">
        <w:rPr>
          <w:rFonts w:cs="Arial"/>
          <w:lang w:val="fr-FR"/>
        </w:rPr>
        <w:t>.</w:t>
      </w:r>
      <w:r w:rsidRPr="00A86354" w:rsidR="0047225B">
        <w:rPr>
          <w:rFonts w:cs="Arial"/>
          <w:lang w:val="fr-FR"/>
        </w:rPr>
        <w:t xml:space="preserve">) </w:t>
      </w:r>
      <w:r w:rsidRPr="00A86354" w:rsidR="0036396B">
        <w:rPr>
          <w:rFonts w:cs="Arial"/>
          <w:lang w:val="fr-FR"/>
        </w:rPr>
        <w:t>s</w:t>
      </w:r>
      <w:r w:rsidRPr="00A86354" w:rsidR="0006032C">
        <w:rPr>
          <w:rFonts w:cs="Arial"/>
          <w:lang w:val="fr-FR"/>
        </w:rPr>
        <w:t>’</w:t>
      </w:r>
      <w:r w:rsidRPr="00A86354" w:rsidR="0036396B">
        <w:rPr>
          <w:rFonts w:cs="Arial"/>
          <w:lang w:val="fr-FR"/>
        </w:rPr>
        <w:t>appliquent</w:t>
      </w:r>
      <w:r w:rsidRPr="00A86354" w:rsidR="0047225B">
        <w:rPr>
          <w:rFonts w:cs="Arial"/>
          <w:lang w:val="fr-FR"/>
        </w:rPr>
        <w:t xml:space="preserve"> également </w:t>
      </w:r>
      <w:r w:rsidRPr="00A86354" w:rsidR="0036396B">
        <w:rPr>
          <w:rFonts w:cs="Arial"/>
          <w:lang w:val="fr-FR"/>
        </w:rPr>
        <w:t>à</w:t>
      </w:r>
      <w:r w:rsidRPr="00A86354" w:rsidR="0047225B">
        <w:rPr>
          <w:rFonts w:cs="Arial"/>
          <w:lang w:val="fr-FR"/>
        </w:rPr>
        <w:t xml:space="preserve"> la fourniture de services de soutien pour assurer l</w:t>
      </w:r>
      <w:r w:rsidRPr="00A86354" w:rsidR="0006032C">
        <w:rPr>
          <w:rFonts w:cs="Arial"/>
          <w:lang w:val="fr-FR"/>
        </w:rPr>
        <w:t>’</w:t>
      </w:r>
      <w:r w:rsidRPr="00A86354" w:rsidR="0047225B">
        <w:rPr>
          <w:rFonts w:cs="Arial"/>
          <w:lang w:val="fr-FR"/>
        </w:rPr>
        <w:t>accès des enfants handicapés à l</w:t>
      </w:r>
      <w:r w:rsidRPr="00A86354" w:rsidR="0006032C">
        <w:rPr>
          <w:rFonts w:cs="Arial"/>
          <w:lang w:val="fr-FR"/>
        </w:rPr>
        <w:t>’</w:t>
      </w:r>
      <w:r w:rsidRPr="00A86354" w:rsidR="0047225B">
        <w:rPr>
          <w:rFonts w:cs="Arial"/>
          <w:lang w:val="fr-FR"/>
        </w:rPr>
        <w:t xml:space="preserve">éducation. </w:t>
      </w:r>
      <w:r w:rsidRPr="00A86354" w:rsidR="007778D0">
        <w:rPr>
          <w:rFonts w:cs="Arial"/>
          <w:lang w:val="fr-FR"/>
        </w:rPr>
        <w:t>Les réclamantes</w:t>
      </w:r>
      <w:r w:rsidRPr="00A86354" w:rsidR="0047225B">
        <w:rPr>
          <w:rFonts w:cs="Arial"/>
          <w:lang w:val="fr-FR"/>
        </w:rPr>
        <w:t xml:space="preserve"> soulignent que ces services sont </w:t>
      </w:r>
      <w:r w:rsidRPr="00A86354" w:rsidR="0036396B">
        <w:rPr>
          <w:rFonts w:cs="Arial"/>
          <w:lang w:val="fr-FR"/>
        </w:rPr>
        <w:t>indispensables</w:t>
      </w:r>
      <w:r w:rsidRPr="00A86354" w:rsidR="0047225B">
        <w:rPr>
          <w:rFonts w:cs="Arial"/>
          <w:lang w:val="fr-FR"/>
        </w:rPr>
        <w:t xml:space="preserve"> pour fournir aux personnes handicapées </w:t>
      </w:r>
      <w:r w:rsidRPr="00A86354" w:rsidR="0036396B">
        <w:rPr>
          <w:rFonts w:cs="Arial"/>
          <w:lang w:val="fr-FR"/>
        </w:rPr>
        <w:t xml:space="preserve">une </w:t>
      </w:r>
      <w:r w:rsidRPr="00A86354" w:rsidR="0047225B">
        <w:rPr>
          <w:rFonts w:cs="Arial"/>
          <w:lang w:val="fr-FR"/>
        </w:rPr>
        <w:t xml:space="preserve">orientation et </w:t>
      </w:r>
      <w:r w:rsidRPr="00A86354" w:rsidR="0036396B">
        <w:rPr>
          <w:rFonts w:cs="Arial"/>
          <w:lang w:val="fr-FR"/>
        </w:rPr>
        <w:t xml:space="preserve">une </w:t>
      </w:r>
      <w:r w:rsidRPr="00A86354" w:rsidR="0047225B">
        <w:rPr>
          <w:rFonts w:cs="Arial"/>
          <w:lang w:val="fr-FR"/>
        </w:rPr>
        <w:t xml:space="preserve">éducation dans le cadre </w:t>
      </w:r>
      <w:r w:rsidRPr="00A86354" w:rsidR="007778D0">
        <w:rPr>
          <w:rFonts w:cs="Arial"/>
          <w:lang w:val="fr-FR"/>
        </w:rPr>
        <w:t xml:space="preserve">des régimes généraux. </w:t>
      </w:r>
      <w:r w:rsidRPr="00A86354" w:rsidR="009D3B3E">
        <w:rPr>
          <w:rFonts w:cs="Arial"/>
          <w:lang w:val="fr-FR"/>
        </w:rPr>
        <w:t xml:space="preserve"> </w:t>
      </w:r>
    </w:p>
    <w:p w:rsidRPr="00A86354" w:rsidR="00904678" w:rsidP="00A86354" w:rsidRDefault="00904678" w14:paraId="33FCFC3C" w14:textId="77777777">
      <w:pPr>
        <w:pStyle w:val="ListParagraph"/>
        <w:rPr>
          <w:rFonts w:cs="Arial"/>
          <w:lang w:val="fr-FR"/>
        </w:rPr>
      </w:pPr>
    </w:p>
    <w:p w:rsidRPr="00A86354" w:rsidR="00904678" w:rsidP="00CE016A" w:rsidRDefault="00904678" w14:paraId="01EF881B" w14:textId="74C51AB0">
      <w:pPr>
        <w:pStyle w:val="ListParagraph"/>
        <w:numPr>
          <w:ilvl w:val="0"/>
          <w:numId w:val="1"/>
        </w:numPr>
        <w:ind w:left="0" w:firstLine="0"/>
        <w:rPr>
          <w:rFonts w:cs="Arial"/>
          <w:lang w:val="fr-FR"/>
        </w:rPr>
      </w:pPr>
      <w:r w:rsidRPr="00A86354">
        <w:rPr>
          <w:rFonts w:cs="Arial"/>
          <w:lang w:val="fr-FR"/>
        </w:rPr>
        <w:t xml:space="preserve">Les organisations réclamantes font valoir qu’en l’absence de véritable stratégie de transformation de l’école ordinaire pour la rendre inclusive, de très nombreux enfants handicapés ne sont pas scolarisés, ou le sont dans des conditions inadaptées ou à temps partiel. </w:t>
      </w:r>
      <w:r w:rsidRPr="00A86354" w:rsidR="007778D0">
        <w:rPr>
          <w:rFonts w:cs="Arial"/>
          <w:lang w:val="fr-FR"/>
        </w:rPr>
        <w:t xml:space="preserve"> Les organisations réclamantes affirment que dans la mesure où ils aident à la compréhension et à la reformulation des consignes et constituent un véritable soutien à la socialisation des élèves handicapés, les accompagnants d'élèves handicapés (dits </w:t>
      </w:r>
      <w:r w:rsidRPr="00A86354" w:rsidR="008E226E">
        <w:rPr>
          <w:rFonts w:cs="Arial"/>
          <w:lang w:val="fr-FR"/>
        </w:rPr>
        <w:t>« </w:t>
      </w:r>
      <w:r w:rsidRPr="00A86354" w:rsidR="007778D0">
        <w:rPr>
          <w:rFonts w:cs="Arial"/>
          <w:lang w:val="fr-FR"/>
        </w:rPr>
        <w:t>AESH</w:t>
      </w:r>
      <w:r w:rsidRPr="00A86354" w:rsidR="008E226E">
        <w:rPr>
          <w:rFonts w:cs="Arial"/>
          <w:lang w:val="fr-FR"/>
        </w:rPr>
        <w:t> »</w:t>
      </w:r>
      <w:r w:rsidRPr="00A86354" w:rsidR="007778D0">
        <w:rPr>
          <w:rFonts w:cs="Arial"/>
          <w:lang w:val="fr-FR"/>
        </w:rPr>
        <w:t>) sont une aide particulièrement précieuse et essentielle à tout processus d'inclusion des élèves handicapés. Or, pour les organisations réclamantes, les mesures prises jusqu'à présent par le Gouvernement afin d'améliorer les conditions de travail des AESH ne permettent pas d'assurer la mise à disposition d'un personnel permettant un accompagnement de qualité pour tous les enfants.</w:t>
      </w:r>
    </w:p>
    <w:p w:rsidRPr="00A86354" w:rsidR="00904678" w:rsidP="00A86354" w:rsidRDefault="00904678" w14:paraId="5BE5AAFB" w14:textId="77777777">
      <w:pPr>
        <w:pStyle w:val="ListParagraph"/>
        <w:rPr>
          <w:rFonts w:cs="Arial"/>
          <w:lang w:val="fr-FR"/>
        </w:rPr>
      </w:pPr>
    </w:p>
    <w:p w:rsidRPr="00A86354" w:rsidR="00A01DB7" w:rsidP="00CE016A" w:rsidRDefault="00801DF2" w14:paraId="2F804B04" w14:textId="02DB5E16">
      <w:pPr>
        <w:pStyle w:val="ListParagraph"/>
        <w:numPr>
          <w:ilvl w:val="0"/>
          <w:numId w:val="1"/>
        </w:numPr>
        <w:ind w:left="0" w:firstLine="0"/>
        <w:rPr>
          <w:rFonts w:cs="Arial"/>
          <w:lang w:val="fr-FR"/>
        </w:rPr>
      </w:pPr>
      <w:r w:rsidRPr="00A86354">
        <w:rPr>
          <w:rFonts w:cs="Arial"/>
          <w:lang w:val="fr-FR"/>
        </w:rPr>
        <w:t>Les organisations réclamantes se réfèrent à un certain nombre de sources nationales et internationales qui soulignent les problèmes rencontrés dans la pratique concernant la mise à disposition d</w:t>
      </w:r>
      <w:r w:rsidRPr="00A86354" w:rsidR="0006032C">
        <w:rPr>
          <w:rFonts w:cs="Arial"/>
          <w:lang w:val="fr-FR"/>
        </w:rPr>
        <w:t>’</w:t>
      </w:r>
      <w:r w:rsidRPr="00A86354">
        <w:rPr>
          <w:rFonts w:cs="Arial"/>
          <w:lang w:val="fr-FR"/>
        </w:rPr>
        <w:t>AESH pour les enfants handicapés qui en ont besoin. Ces sources font d</w:t>
      </w:r>
      <w:r w:rsidRPr="00A86354" w:rsidR="0006032C">
        <w:rPr>
          <w:rFonts w:cs="Arial"/>
          <w:lang w:val="fr-FR"/>
        </w:rPr>
        <w:t>’</w:t>
      </w:r>
      <w:r w:rsidRPr="00A86354">
        <w:rPr>
          <w:rFonts w:cs="Arial"/>
          <w:lang w:val="fr-FR"/>
        </w:rPr>
        <w:t xml:space="preserve">abord état de </w:t>
      </w:r>
      <w:r w:rsidRPr="00A86354" w:rsidR="0080355C">
        <w:rPr>
          <w:rFonts w:cs="Arial"/>
          <w:lang w:val="fr-FR"/>
        </w:rPr>
        <w:t xml:space="preserve">délais de </w:t>
      </w:r>
      <w:r w:rsidRPr="00A86354">
        <w:rPr>
          <w:rFonts w:cs="Arial"/>
          <w:lang w:val="fr-FR"/>
        </w:rPr>
        <w:t xml:space="preserve">traitement </w:t>
      </w:r>
      <w:r w:rsidRPr="00A86354" w:rsidR="0080355C">
        <w:rPr>
          <w:rFonts w:cs="Arial"/>
          <w:lang w:val="fr-FR"/>
        </w:rPr>
        <w:t xml:space="preserve">excessifs </w:t>
      </w:r>
      <w:r w:rsidRPr="00A86354">
        <w:rPr>
          <w:rFonts w:cs="Arial"/>
          <w:lang w:val="fr-FR"/>
        </w:rPr>
        <w:t xml:space="preserve">des demandes </w:t>
      </w:r>
      <w:r w:rsidRPr="00A86354" w:rsidR="00FC2D57">
        <w:rPr>
          <w:rFonts w:cs="Arial"/>
          <w:lang w:val="fr-FR"/>
        </w:rPr>
        <w:t>d</w:t>
      </w:r>
      <w:r w:rsidRPr="00A86354" w:rsidR="0006032C">
        <w:rPr>
          <w:rFonts w:cs="Arial"/>
          <w:lang w:val="fr-FR"/>
        </w:rPr>
        <w:t>’</w:t>
      </w:r>
      <w:r w:rsidRPr="00A86354" w:rsidR="00FC2D57">
        <w:rPr>
          <w:rFonts w:cs="Arial"/>
          <w:lang w:val="fr-FR"/>
        </w:rPr>
        <w:t xml:space="preserve">attribution </w:t>
      </w:r>
      <w:r w:rsidRPr="00A86354" w:rsidR="005E72DE">
        <w:rPr>
          <w:rFonts w:cs="Arial"/>
          <w:lang w:val="fr-FR"/>
        </w:rPr>
        <w:t>d</w:t>
      </w:r>
      <w:r w:rsidRPr="00A86354" w:rsidR="0006032C">
        <w:rPr>
          <w:rFonts w:cs="Arial"/>
          <w:lang w:val="fr-FR"/>
        </w:rPr>
        <w:t>’</w:t>
      </w:r>
      <w:r w:rsidRPr="00A86354" w:rsidR="0080355C">
        <w:rPr>
          <w:rFonts w:cs="Arial"/>
          <w:lang w:val="fr-FR"/>
        </w:rPr>
        <w:t xml:space="preserve">un </w:t>
      </w:r>
      <w:r w:rsidRPr="00A86354">
        <w:rPr>
          <w:rFonts w:cs="Arial"/>
          <w:lang w:val="fr-FR"/>
        </w:rPr>
        <w:t>AESH et de longues listes d</w:t>
      </w:r>
      <w:r w:rsidRPr="00A86354" w:rsidR="0006032C">
        <w:rPr>
          <w:rFonts w:cs="Arial"/>
          <w:lang w:val="fr-FR"/>
        </w:rPr>
        <w:t>’</w:t>
      </w:r>
      <w:r w:rsidRPr="00A86354">
        <w:rPr>
          <w:rFonts w:cs="Arial"/>
          <w:lang w:val="fr-FR"/>
        </w:rPr>
        <w:t>attente dans les MDPH</w:t>
      </w:r>
      <w:r w:rsidRPr="00A86354" w:rsidR="000807D5">
        <w:rPr>
          <w:rFonts w:cs="Arial"/>
          <w:lang w:val="fr-FR"/>
        </w:rPr>
        <w:t> :</w:t>
      </w:r>
      <w:r w:rsidRPr="00A86354">
        <w:rPr>
          <w:rFonts w:cs="Arial"/>
          <w:lang w:val="fr-FR"/>
        </w:rPr>
        <w:t xml:space="preserve"> même lorsque les familles </w:t>
      </w:r>
      <w:r w:rsidRPr="00A86354" w:rsidR="0080355C">
        <w:rPr>
          <w:rFonts w:cs="Arial"/>
          <w:lang w:val="fr-FR"/>
        </w:rPr>
        <w:t>déposent</w:t>
      </w:r>
      <w:r w:rsidRPr="00A86354">
        <w:rPr>
          <w:rFonts w:cs="Arial"/>
          <w:lang w:val="fr-FR"/>
        </w:rPr>
        <w:t xml:space="preserve"> leur demande </w:t>
      </w:r>
      <w:r w:rsidRPr="00A86354" w:rsidR="0080355C">
        <w:rPr>
          <w:rFonts w:cs="Arial"/>
          <w:lang w:val="fr-FR"/>
        </w:rPr>
        <w:t>entre</w:t>
      </w:r>
      <w:r w:rsidRPr="00A86354">
        <w:rPr>
          <w:rFonts w:cs="Arial"/>
          <w:lang w:val="fr-FR"/>
        </w:rPr>
        <w:t xml:space="preserve"> 6 mois </w:t>
      </w:r>
      <w:r w:rsidRPr="00A86354" w:rsidR="0080355C">
        <w:rPr>
          <w:rFonts w:cs="Arial"/>
          <w:lang w:val="fr-FR"/>
        </w:rPr>
        <w:t>et</w:t>
      </w:r>
      <w:r w:rsidRPr="00A86354">
        <w:rPr>
          <w:rFonts w:cs="Arial"/>
          <w:lang w:val="fr-FR"/>
        </w:rPr>
        <w:t xml:space="preserve"> 1 an avant le début de l</w:t>
      </w:r>
      <w:r w:rsidRPr="00A86354" w:rsidR="0006032C">
        <w:rPr>
          <w:rFonts w:cs="Arial"/>
          <w:lang w:val="fr-FR"/>
        </w:rPr>
        <w:t>’</w:t>
      </w:r>
      <w:r w:rsidRPr="00A86354">
        <w:rPr>
          <w:rFonts w:cs="Arial"/>
          <w:lang w:val="fr-FR"/>
        </w:rPr>
        <w:t xml:space="preserve">année scolaire </w:t>
      </w:r>
      <w:r w:rsidRPr="00A86354" w:rsidR="0080355C">
        <w:rPr>
          <w:rFonts w:cs="Arial"/>
          <w:lang w:val="fr-FR"/>
        </w:rPr>
        <w:t>pour tenir compte</w:t>
      </w:r>
      <w:r w:rsidRPr="00A86354">
        <w:rPr>
          <w:rFonts w:cs="Arial"/>
          <w:lang w:val="fr-FR"/>
        </w:rPr>
        <w:t xml:space="preserve"> des délais de traitement </w:t>
      </w:r>
      <w:r w:rsidRPr="00A86354" w:rsidR="002673EC">
        <w:rPr>
          <w:rFonts w:cs="Arial"/>
          <w:lang w:val="fr-FR"/>
        </w:rPr>
        <w:t>pour l</w:t>
      </w:r>
      <w:r w:rsidRPr="00A86354">
        <w:rPr>
          <w:rFonts w:cs="Arial"/>
          <w:lang w:val="fr-FR"/>
        </w:rPr>
        <w:t xml:space="preserve">es MDPH et </w:t>
      </w:r>
      <w:r w:rsidRPr="00A86354" w:rsidR="002673EC">
        <w:rPr>
          <w:rFonts w:cs="Arial"/>
          <w:lang w:val="fr-FR"/>
        </w:rPr>
        <w:t>pour obtenir une</w:t>
      </w:r>
      <w:r w:rsidRPr="00A86354">
        <w:rPr>
          <w:rFonts w:cs="Arial"/>
          <w:lang w:val="fr-FR"/>
        </w:rPr>
        <w:t xml:space="preserve"> notification </w:t>
      </w:r>
      <w:r w:rsidRPr="00A86354" w:rsidR="002673EC">
        <w:rPr>
          <w:rFonts w:cs="Arial"/>
          <w:lang w:val="fr-FR"/>
        </w:rPr>
        <w:t>d</w:t>
      </w:r>
      <w:r w:rsidRPr="00A86354" w:rsidR="0006032C">
        <w:rPr>
          <w:rFonts w:cs="Arial"/>
          <w:lang w:val="fr-FR"/>
        </w:rPr>
        <w:t>’</w:t>
      </w:r>
      <w:r w:rsidRPr="00A86354" w:rsidR="002673EC">
        <w:rPr>
          <w:rFonts w:cs="Arial"/>
          <w:lang w:val="fr-FR"/>
        </w:rPr>
        <w:t xml:space="preserve">attribution </w:t>
      </w:r>
      <w:r w:rsidRPr="00A86354">
        <w:rPr>
          <w:rFonts w:cs="Arial"/>
          <w:lang w:val="fr-FR"/>
        </w:rPr>
        <w:t>d</w:t>
      </w:r>
      <w:r w:rsidRPr="00A86354" w:rsidR="0006032C">
        <w:rPr>
          <w:rFonts w:cs="Arial"/>
          <w:lang w:val="fr-FR"/>
        </w:rPr>
        <w:t>’</w:t>
      </w:r>
      <w:r w:rsidRPr="00A86354" w:rsidR="002673EC">
        <w:rPr>
          <w:rFonts w:cs="Arial"/>
          <w:lang w:val="fr-FR"/>
        </w:rPr>
        <w:t xml:space="preserve">un </w:t>
      </w:r>
      <w:r w:rsidRPr="00A86354">
        <w:rPr>
          <w:rFonts w:cs="Arial"/>
          <w:lang w:val="fr-FR"/>
        </w:rPr>
        <w:t>AESH, le système d</w:t>
      </w:r>
      <w:r w:rsidRPr="00A86354" w:rsidR="002673EC">
        <w:rPr>
          <w:rFonts w:cs="Arial"/>
          <w:lang w:val="fr-FR"/>
        </w:rPr>
        <w:t>e l</w:t>
      </w:r>
      <w:r w:rsidRPr="00A86354" w:rsidR="0006032C">
        <w:rPr>
          <w:rFonts w:cs="Arial"/>
          <w:lang w:val="fr-FR"/>
        </w:rPr>
        <w:t>’</w:t>
      </w:r>
      <w:r w:rsidRPr="00A86354" w:rsidR="002673EC">
        <w:rPr>
          <w:rFonts w:cs="Arial"/>
          <w:lang w:val="fr-FR"/>
        </w:rPr>
        <w:t>É</w:t>
      </w:r>
      <w:r w:rsidRPr="00A86354">
        <w:rPr>
          <w:rFonts w:cs="Arial"/>
          <w:lang w:val="fr-FR"/>
        </w:rPr>
        <w:t xml:space="preserve">ducation nationale semble incapable de mobiliser le personnel nécessaire à temps. Ce manque de réactivité </w:t>
      </w:r>
      <w:r w:rsidRPr="00A86354" w:rsidR="002673EC">
        <w:rPr>
          <w:rFonts w:cs="Arial"/>
          <w:lang w:val="fr-FR"/>
        </w:rPr>
        <w:t xml:space="preserve">entraîne une </w:t>
      </w:r>
      <w:r w:rsidRPr="00A86354">
        <w:rPr>
          <w:rFonts w:cs="Arial"/>
          <w:lang w:val="fr-FR"/>
        </w:rPr>
        <w:t xml:space="preserve">accumulation de retards </w:t>
      </w:r>
      <w:r w:rsidRPr="00A86354" w:rsidR="002673EC">
        <w:rPr>
          <w:rFonts w:cs="Arial"/>
          <w:lang w:val="fr-FR"/>
        </w:rPr>
        <w:t>pour</w:t>
      </w:r>
      <w:r w:rsidRPr="00A86354">
        <w:rPr>
          <w:rFonts w:cs="Arial"/>
          <w:lang w:val="fr-FR"/>
        </w:rPr>
        <w:t xml:space="preserve"> les élèves handicapés, dont beaucoup sont contraints de </w:t>
      </w:r>
      <w:r w:rsidRPr="00A86354" w:rsidR="002673EC">
        <w:rPr>
          <w:rFonts w:cs="Arial"/>
          <w:lang w:val="fr-FR"/>
        </w:rPr>
        <w:t xml:space="preserve">ne </w:t>
      </w:r>
      <w:r w:rsidRPr="00A86354">
        <w:rPr>
          <w:rFonts w:cs="Arial"/>
          <w:lang w:val="fr-FR"/>
        </w:rPr>
        <w:t>commencer leur</w:t>
      </w:r>
      <w:r w:rsidRPr="00A86354" w:rsidR="002673EC">
        <w:rPr>
          <w:rFonts w:cs="Arial"/>
          <w:lang w:val="fr-FR"/>
        </w:rPr>
        <w:t xml:space="preserve"> année scolaire </w:t>
      </w:r>
      <w:r w:rsidRPr="00A86354">
        <w:rPr>
          <w:rFonts w:cs="Arial"/>
          <w:lang w:val="fr-FR"/>
        </w:rPr>
        <w:t>qu</w:t>
      </w:r>
      <w:r w:rsidRPr="00A86354" w:rsidR="0006032C">
        <w:rPr>
          <w:rFonts w:cs="Arial"/>
          <w:lang w:val="fr-FR"/>
        </w:rPr>
        <w:t>’</w:t>
      </w:r>
      <w:r w:rsidRPr="00A86354">
        <w:rPr>
          <w:rFonts w:cs="Arial"/>
          <w:lang w:val="fr-FR"/>
        </w:rPr>
        <w:t>en novembre.</w:t>
      </w:r>
    </w:p>
    <w:p w:rsidRPr="00A86354" w:rsidR="008F0D0E" w:rsidP="00A86354" w:rsidRDefault="008F0D0E" w14:paraId="12EFE7EE" w14:textId="77777777">
      <w:pPr>
        <w:ind w:left="360" w:hanging="360"/>
        <w:rPr>
          <w:rFonts w:ascii="Arial" w:hAnsi="Arial" w:cs="Arial"/>
          <w:lang w:val="fr-FR"/>
        </w:rPr>
      </w:pPr>
    </w:p>
    <w:p w:rsidRPr="00A86354" w:rsidR="00904678" w:rsidP="00CE016A" w:rsidRDefault="00430CF7" w14:paraId="60BC470F" w14:textId="489DC33B">
      <w:pPr>
        <w:pStyle w:val="ListParagraph"/>
        <w:numPr>
          <w:ilvl w:val="0"/>
          <w:numId w:val="1"/>
        </w:numPr>
        <w:ind w:left="0" w:firstLine="0"/>
        <w:rPr>
          <w:rFonts w:cs="Arial"/>
          <w:lang w:val="fr-FR"/>
        </w:rPr>
      </w:pPr>
      <w:r w:rsidRPr="00A86354">
        <w:rPr>
          <w:rFonts w:cs="Arial"/>
          <w:lang w:val="fr-FR"/>
        </w:rPr>
        <w:t xml:space="preserve">En outre, selon les rapports cités par les organisations réclamantes, </w:t>
      </w:r>
      <w:r w:rsidRPr="00A86354" w:rsidR="00EB6C15">
        <w:rPr>
          <w:rFonts w:cs="Arial"/>
          <w:lang w:val="fr-FR"/>
        </w:rPr>
        <w:t>la mise à disposition d</w:t>
      </w:r>
      <w:r w:rsidRPr="00A86354" w:rsidR="0006032C">
        <w:rPr>
          <w:rFonts w:cs="Arial"/>
          <w:lang w:val="fr-FR"/>
        </w:rPr>
        <w:t>’</w:t>
      </w:r>
      <w:r w:rsidRPr="00A86354" w:rsidR="00EB6C15">
        <w:rPr>
          <w:rFonts w:cs="Arial"/>
          <w:lang w:val="fr-FR"/>
        </w:rPr>
        <w:t xml:space="preserve">un </w:t>
      </w:r>
      <w:r w:rsidRPr="00A86354">
        <w:rPr>
          <w:rFonts w:cs="Arial"/>
          <w:lang w:val="fr-FR"/>
        </w:rPr>
        <w:t>AESH n</w:t>
      </w:r>
      <w:r w:rsidRPr="00A86354" w:rsidR="0006032C">
        <w:rPr>
          <w:rFonts w:cs="Arial"/>
          <w:lang w:val="fr-FR"/>
        </w:rPr>
        <w:t>’</w:t>
      </w:r>
      <w:r w:rsidRPr="00A86354">
        <w:rPr>
          <w:rFonts w:cs="Arial"/>
          <w:lang w:val="fr-FR"/>
        </w:rPr>
        <w:t xml:space="preserve">étant </w:t>
      </w:r>
      <w:r w:rsidRPr="00A86354" w:rsidR="00EB6C15">
        <w:rPr>
          <w:rFonts w:cs="Arial"/>
          <w:lang w:val="fr-FR"/>
        </w:rPr>
        <w:t>valable qu</w:t>
      </w:r>
      <w:r w:rsidRPr="00A86354" w:rsidR="0006032C">
        <w:rPr>
          <w:rFonts w:cs="Arial"/>
          <w:lang w:val="fr-FR"/>
        </w:rPr>
        <w:t>’</w:t>
      </w:r>
      <w:r w:rsidRPr="00A86354">
        <w:rPr>
          <w:rFonts w:cs="Arial"/>
          <w:lang w:val="fr-FR"/>
        </w:rPr>
        <w:t xml:space="preserve">une année, les familles doivent soumettre </w:t>
      </w:r>
      <w:r w:rsidRPr="00A86354" w:rsidR="00EB6C15">
        <w:rPr>
          <w:rFonts w:cs="Arial"/>
          <w:lang w:val="fr-FR"/>
        </w:rPr>
        <w:t>un nouveau dossier</w:t>
      </w:r>
      <w:r w:rsidRPr="00A86354">
        <w:rPr>
          <w:rFonts w:cs="Arial"/>
          <w:lang w:val="fr-FR"/>
        </w:rPr>
        <w:t xml:space="preserve"> tous les ans et </w:t>
      </w:r>
      <w:r w:rsidRPr="00A86354" w:rsidR="00EB6C15">
        <w:rPr>
          <w:rFonts w:cs="Arial"/>
          <w:lang w:val="fr-FR"/>
        </w:rPr>
        <w:t>apporter les preuves du</w:t>
      </w:r>
      <w:r w:rsidRPr="00A86354">
        <w:rPr>
          <w:rFonts w:cs="Arial"/>
          <w:lang w:val="fr-FR"/>
        </w:rPr>
        <w:t xml:space="preserve"> handicap de manière répétitive afin </w:t>
      </w:r>
      <w:r w:rsidRPr="00A86354" w:rsidR="00EB6C15">
        <w:rPr>
          <w:rFonts w:cs="Arial"/>
          <w:lang w:val="fr-FR"/>
        </w:rPr>
        <w:t>que leur enfant bénéficie d</w:t>
      </w:r>
      <w:r w:rsidRPr="00A86354" w:rsidR="0006032C">
        <w:rPr>
          <w:rFonts w:cs="Arial"/>
          <w:lang w:val="fr-FR"/>
        </w:rPr>
        <w:t>’</w:t>
      </w:r>
      <w:r w:rsidRPr="00A86354" w:rsidR="00EB6C15">
        <w:rPr>
          <w:rFonts w:cs="Arial"/>
          <w:lang w:val="fr-FR"/>
        </w:rPr>
        <w:t>un</w:t>
      </w:r>
      <w:r w:rsidRPr="00A86354">
        <w:rPr>
          <w:rFonts w:cs="Arial"/>
          <w:lang w:val="fr-FR"/>
        </w:rPr>
        <w:t xml:space="preserve"> AESH pour l</w:t>
      </w:r>
      <w:r w:rsidRPr="00A86354" w:rsidR="008E226E">
        <w:rPr>
          <w:rFonts w:cs="Arial"/>
          <w:lang w:val="fr-FR"/>
        </w:rPr>
        <w:t>’</w:t>
      </w:r>
      <w:r w:rsidRPr="00A86354">
        <w:rPr>
          <w:rFonts w:cs="Arial"/>
          <w:lang w:val="fr-FR"/>
        </w:rPr>
        <w:t>année scolaire</w:t>
      </w:r>
      <w:r w:rsidRPr="00A86354" w:rsidR="008E226E">
        <w:rPr>
          <w:rFonts w:cs="Arial"/>
          <w:lang w:val="fr-FR"/>
        </w:rPr>
        <w:t xml:space="preserve"> suivante</w:t>
      </w:r>
      <w:r w:rsidRPr="00A86354">
        <w:rPr>
          <w:rFonts w:cs="Arial"/>
          <w:lang w:val="fr-FR"/>
        </w:rPr>
        <w:t>.</w:t>
      </w:r>
    </w:p>
    <w:p w:rsidRPr="00A86354" w:rsidR="00904678" w:rsidP="00A86354" w:rsidRDefault="00904678" w14:paraId="16560B0F" w14:textId="67577A7C">
      <w:pPr>
        <w:pStyle w:val="ListParagraph"/>
        <w:rPr>
          <w:rFonts w:cs="Arial"/>
          <w:lang w:val="fr-FR"/>
        </w:rPr>
      </w:pPr>
    </w:p>
    <w:p w:rsidRPr="00A86354" w:rsidR="00853F6A" w:rsidP="00CE016A" w:rsidRDefault="00EF5A9A" w14:paraId="04299249" w14:textId="2202CEE6">
      <w:pPr>
        <w:pStyle w:val="ListParagraph"/>
        <w:numPr>
          <w:ilvl w:val="0"/>
          <w:numId w:val="1"/>
        </w:numPr>
        <w:ind w:left="0" w:firstLine="0"/>
        <w:rPr>
          <w:rFonts w:cs="Arial"/>
          <w:lang w:val="fr-FR"/>
        </w:rPr>
      </w:pPr>
      <w:r w:rsidRPr="00A86354">
        <w:rPr>
          <w:rFonts w:cs="Arial"/>
          <w:lang w:val="fr-FR"/>
        </w:rPr>
        <w:t>Selon EDF et Inclusion Europe</w:t>
      </w:r>
      <w:r w:rsidRPr="00A86354" w:rsidR="0086458F">
        <w:rPr>
          <w:rFonts w:cs="Arial"/>
          <w:lang w:val="fr-FR"/>
        </w:rPr>
        <w:t xml:space="preserve">, </w:t>
      </w:r>
      <w:r w:rsidRPr="00A86354" w:rsidR="00EB0907">
        <w:rPr>
          <w:rFonts w:cs="Arial"/>
          <w:lang w:val="fr-FR"/>
        </w:rPr>
        <w:t>les insuffisances de la formation initiale et continue des AESH, la difficulté d</w:t>
      </w:r>
      <w:r w:rsidRPr="00A86354" w:rsidR="0006032C">
        <w:rPr>
          <w:rFonts w:cs="Arial"/>
          <w:lang w:val="fr-FR"/>
        </w:rPr>
        <w:t>’</w:t>
      </w:r>
      <w:r w:rsidRPr="00A86354" w:rsidR="00EB0907">
        <w:rPr>
          <w:rFonts w:cs="Arial"/>
          <w:lang w:val="fr-FR"/>
        </w:rPr>
        <w:t xml:space="preserve">accéder à des emplois stables et le très faible </w:t>
      </w:r>
      <w:r w:rsidRPr="00A86354" w:rsidR="00EB6C15">
        <w:rPr>
          <w:rFonts w:cs="Arial"/>
          <w:lang w:val="fr-FR"/>
        </w:rPr>
        <w:t xml:space="preserve">niveau </w:t>
      </w:r>
      <w:r w:rsidRPr="00A86354" w:rsidR="00EB0907">
        <w:rPr>
          <w:rFonts w:cs="Arial"/>
          <w:lang w:val="fr-FR"/>
        </w:rPr>
        <w:t>de rémunération constituent des obstacles à l</w:t>
      </w:r>
      <w:r w:rsidRPr="00A86354" w:rsidR="0006032C">
        <w:rPr>
          <w:rFonts w:cs="Arial"/>
          <w:lang w:val="fr-FR"/>
        </w:rPr>
        <w:t>’</w:t>
      </w:r>
      <w:r w:rsidRPr="00A86354" w:rsidR="00EB0907">
        <w:rPr>
          <w:rFonts w:cs="Arial"/>
          <w:lang w:val="fr-FR"/>
        </w:rPr>
        <w:t xml:space="preserve">attractivité de </w:t>
      </w:r>
      <w:r w:rsidRPr="00A86354" w:rsidR="00714558">
        <w:rPr>
          <w:rFonts w:cs="Arial"/>
          <w:lang w:val="fr-FR"/>
        </w:rPr>
        <w:t>ce métier</w:t>
      </w:r>
      <w:r w:rsidRPr="00A86354" w:rsidR="00EB0907">
        <w:rPr>
          <w:rFonts w:cs="Arial"/>
          <w:lang w:val="fr-FR"/>
        </w:rPr>
        <w:t xml:space="preserve"> et à la professionnalisation </w:t>
      </w:r>
      <w:r w:rsidRPr="00A86354" w:rsidR="00714558">
        <w:rPr>
          <w:rFonts w:cs="Arial"/>
          <w:lang w:val="fr-FR"/>
        </w:rPr>
        <w:t>des accompagnants</w:t>
      </w:r>
      <w:r w:rsidRPr="00A86354" w:rsidR="00EB0907">
        <w:rPr>
          <w:rFonts w:cs="Arial"/>
          <w:lang w:val="fr-FR"/>
        </w:rPr>
        <w:t xml:space="preserve">. Afin de remédier à ces problèmes, </w:t>
      </w:r>
      <w:r w:rsidRPr="00A86354" w:rsidR="00EB6C15">
        <w:rPr>
          <w:rFonts w:cs="Arial"/>
          <w:lang w:val="fr-FR"/>
        </w:rPr>
        <w:t xml:space="preserve">en juillet 2019, </w:t>
      </w:r>
      <w:r w:rsidRPr="00A86354" w:rsidR="00EB0907">
        <w:rPr>
          <w:rFonts w:cs="Arial"/>
          <w:lang w:val="fr-FR"/>
        </w:rPr>
        <w:t xml:space="preserve">le </w:t>
      </w:r>
      <w:r w:rsidRPr="00A86354" w:rsidR="00AE34AC">
        <w:rPr>
          <w:rFonts w:cs="Arial"/>
          <w:lang w:val="fr-FR"/>
        </w:rPr>
        <w:t>Gouvernement</w:t>
      </w:r>
      <w:r w:rsidRPr="00A86354" w:rsidR="00EB0907">
        <w:rPr>
          <w:rFonts w:cs="Arial"/>
          <w:lang w:val="fr-FR"/>
        </w:rPr>
        <w:t xml:space="preserve"> a modifié le statut des AESH</w:t>
      </w:r>
      <w:r w:rsidRPr="00A86354" w:rsidR="00853F6A">
        <w:rPr>
          <w:rFonts w:cs="Arial"/>
          <w:lang w:val="fr-FR"/>
        </w:rPr>
        <w:t>. Ainsi, les AESH</w:t>
      </w:r>
      <w:r w:rsidRPr="00A86354" w:rsidR="00EB6C15">
        <w:rPr>
          <w:rFonts w:cs="Arial"/>
          <w:lang w:val="fr-FR"/>
        </w:rPr>
        <w:t xml:space="preserve"> </w:t>
      </w:r>
      <w:r w:rsidRPr="00A86354" w:rsidR="00EB0907">
        <w:rPr>
          <w:rFonts w:cs="Arial"/>
          <w:lang w:val="fr-FR"/>
        </w:rPr>
        <w:t xml:space="preserve">ne sont plus recrutés </w:t>
      </w:r>
      <w:r w:rsidRPr="00A86354" w:rsidR="00714558">
        <w:rPr>
          <w:rFonts w:cs="Arial"/>
          <w:lang w:val="fr-FR"/>
        </w:rPr>
        <w:t>sous</w:t>
      </w:r>
      <w:r w:rsidRPr="00A86354" w:rsidR="00EB0907">
        <w:rPr>
          <w:rFonts w:cs="Arial"/>
          <w:lang w:val="fr-FR"/>
        </w:rPr>
        <w:t xml:space="preserve"> contrat </w:t>
      </w:r>
      <w:r w:rsidRPr="00A86354" w:rsidR="00714558">
        <w:rPr>
          <w:rFonts w:cs="Arial"/>
          <w:lang w:val="fr-FR"/>
        </w:rPr>
        <w:t>aidé</w:t>
      </w:r>
      <w:r w:rsidRPr="00A86354" w:rsidR="00EB0907">
        <w:rPr>
          <w:rFonts w:cs="Arial"/>
          <w:lang w:val="fr-FR"/>
        </w:rPr>
        <w:t xml:space="preserve">, mais </w:t>
      </w:r>
      <w:r w:rsidRPr="00A86354" w:rsidR="00714558">
        <w:rPr>
          <w:rFonts w:cs="Arial"/>
          <w:lang w:val="fr-FR"/>
        </w:rPr>
        <w:t>sous</w:t>
      </w:r>
      <w:r w:rsidRPr="00A86354" w:rsidR="00EB0907">
        <w:rPr>
          <w:rFonts w:cs="Arial"/>
          <w:lang w:val="fr-FR"/>
        </w:rPr>
        <w:t xml:space="preserve"> contrat à durée déterminée de trois ans, renouvelable une fois, puis transformé en contrat à durée indéterminée. En outre, les </w:t>
      </w:r>
      <w:r w:rsidRPr="00A86354" w:rsidR="00714558">
        <w:rPr>
          <w:rFonts w:cs="Arial"/>
          <w:lang w:val="fr-FR"/>
        </w:rPr>
        <w:t xml:space="preserve">accompagnants </w:t>
      </w:r>
      <w:r w:rsidRPr="00A86354" w:rsidR="00EB0907">
        <w:rPr>
          <w:rFonts w:cs="Arial"/>
          <w:lang w:val="fr-FR"/>
        </w:rPr>
        <w:t>bénéficieront d</w:t>
      </w:r>
      <w:r w:rsidRPr="00A86354" w:rsidR="0006032C">
        <w:rPr>
          <w:rFonts w:cs="Arial"/>
          <w:lang w:val="fr-FR"/>
        </w:rPr>
        <w:t>’</w:t>
      </w:r>
      <w:r w:rsidRPr="00A86354" w:rsidR="00EB0907">
        <w:rPr>
          <w:rFonts w:cs="Arial"/>
          <w:lang w:val="fr-FR"/>
        </w:rPr>
        <w:t>une formation continue de 60 heures par an.</w:t>
      </w:r>
    </w:p>
    <w:p w:rsidRPr="00A86354" w:rsidR="00853F6A" w:rsidP="00A86354" w:rsidRDefault="00853F6A" w14:paraId="49E594D8" w14:textId="77777777">
      <w:pPr>
        <w:pStyle w:val="ListParagraph"/>
        <w:rPr>
          <w:rFonts w:cs="Arial"/>
          <w:lang w:val="fr-FR"/>
        </w:rPr>
      </w:pPr>
    </w:p>
    <w:p w:rsidRPr="00A86354" w:rsidR="00853F6A" w:rsidP="00CE016A" w:rsidRDefault="00714558" w14:paraId="7F8ED290" w14:textId="77777777">
      <w:pPr>
        <w:pStyle w:val="ListParagraph"/>
        <w:numPr>
          <w:ilvl w:val="0"/>
          <w:numId w:val="1"/>
        </w:numPr>
        <w:ind w:left="0" w:firstLine="0"/>
        <w:rPr>
          <w:rFonts w:cs="Arial"/>
          <w:lang w:val="fr-FR"/>
        </w:rPr>
      </w:pPr>
      <w:r w:rsidRPr="00A86354">
        <w:rPr>
          <w:rFonts w:cs="Arial"/>
          <w:lang w:val="fr-FR"/>
        </w:rPr>
        <w:t>Néanmoins</w:t>
      </w:r>
      <w:r w:rsidRPr="00A86354" w:rsidR="001E2D71">
        <w:rPr>
          <w:rFonts w:cs="Arial"/>
          <w:lang w:val="fr-FR"/>
        </w:rPr>
        <w:t xml:space="preserve">, </w:t>
      </w:r>
      <w:r w:rsidRPr="00A86354" w:rsidR="00EF5A9A">
        <w:rPr>
          <w:rFonts w:cs="Arial"/>
          <w:lang w:val="fr-FR"/>
        </w:rPr>
        <w:t>pour l</w:t>
      </w:r>
      <w:r w:rsidRPr="00A86354" w:rsidR="00E97244">
        <w:rPr>
          <w:rFonts w:cs="Arial"/>
          <w:lang w:val="fr-FR"/>
        </w:rPr>
        <w:t>es organisations réclamantes</w:t>
      </w:r>
      <w:r w:rsidRPr="00A86354" w:rsidR="001E2D71">
        <w:rPr>
          <w:rFonts w:cs="Arial"/>
          <w:lang w:val="fr-FR"/>
        </w:rPr>
        <w:t xml:space="preserve">, </w:t>
      </w:r>
      <w:r w:rsidRPr="00A86354">
        <w:rPr>
          <w:rFonts w:cs="Arial"/>
          <w:lang w:val="fr-FR"/>
        </w:rPr>
        <w:t>ces</w:t>
      </w:r>
      <w:r w:rsidRPr="00A86354" w:rsidR="001E2D71">
        <w:rPr>
          <w:rFonts w:cs="Arial"/>
          <w:lang w:val="fr-FR"/>
        </w:rPr>
        <w:t xml:space="preserve"> mesures </w:t>
      </w:r>
      <w:r w:rsidRPr="00A86354">
        <w:rPr>
          <w:rFonts w:cs="Arial"/>
          <w:lang w:val="fr-FR"/>
        </w:rPr>
        <w:t>ne suffisent pas à garantir un accompagnement pérenne et de qualité.</w:t>
      </w:r>
      <w:r w:rsidRPr="00A86354" w:rsidR="001E2D71">
        <w:rPr>
          <w:rFonts w:cs="Arial"/>
          <w:lang w:val="fr-FR"/>
        </w:rPr>
        <w:t xml:space="preserve"> </w:t>
      </w:r>
      <w:r w:rsidRPr="00A86354">
        <w:rPr>
          <w:rFonts w:cs="Arial"/>
          <w:lang w:val="fr-FR"/>
        </w:rPr>
        <w:t xml:space="preserve">Le salaire moyen des AESH </w:t>
      </w:r>
      <w:r w:rsidRPr="00A86354">
        <w:rPr>
          <w:rFonts w:cs="Arial"/>
          <w:lang w:val="fr-FR"/>
        </w:rPr>
        <w:lastRenderedPageBreak/>
        <w:t>n</w:t>
      </w:r>
      <w:r w:rsidRPr="00A86354" w:rsidR="0006032C">
        <w:rPr>
          <w:rFonts w:cs="Arial"/>
          <w:lang w:val="fr-FR"/>
        </w:rPr>
        <w:t>’</w:t>
      </w:r>
      <w:r w:rsidRPr="00A86354">
        <w:rPr>
          <w:rFonts w:cs="Arial"/>
          <w:lang w:val="fr-FR"/>
        </w:rPr>
        <w:t xml:space="preserve">est que de 760 </w:t>
      </w:r>
      <w:r w:rsidRPr="00A86354" w:rsidR="00E245AA">
        <w:rPr>
          <w:rFonts w:cs="Arial"/>
          <w:lang w:val="fr-FR"/>
        </w:rPr>
        <w:t>EUR</w:t>
      </w:r>
      <w:r w:rsidRPr="00A86354">
        <w:rPr>
          <w:rFonts w:cs="Arial"/>
          <w:lang w:val="fr-FR"/>
        </w:rPr>
        <w:t xml:space="preserve"> par mois, en raison de la prévalence d</w:t>
      </w:r>
      <w:r w:rsidRPr="00A86354" w:rsidR="0006032C">
        <w:rPr>
          <w:rFonts w:cs="Arial"/>
          <w:lang w:val="fr-FR"/>
        </w:rPr>
        <w:t>’</w:t>
      </w:r>
      <w:r w:rsidRPr="00A86354">
        <w:rPr>
          <w:rFonts w:cs="Arial"/>
          <w:lang w:val="fr-FR"/>
        </w:rPr>
        <w:t>emplois à temps partiel. Parmi les AESH employés actuellement, 2 % seulement ont un emploi à temps plein. En outre, 16,3 % des AESH sont employés sur la base de contrats à durée indéterminée, c</w:t>
      </w:r>
      <w:r w:rsidRPr="00A86354" w:rsidR="00853F6A">
        <w:rPr>
          <w:rFonts w:cs="Arial"/>
          <w:lang w:val="fr-FR"/>
        </w:rPr>
        <w:t>omparé à</w:t>
      </w:r>
      <w:r w:rsidRPr="00A86354">
        <w:rPr>
          <w:rFonts w:cs="Arial"/>
          <w:lang w:val="fr-FR"/>
        </w:rPr>
        <w:t xml:space="preserve"> 83,7 % </w:t>
      </w:r>
      <w:r w:rsidRPr="00A86354" w:rsidR="00EB51A1">
        <w:rPr>
          <w:rFonts w:cs="Arial"/>
          <w:lang w:val="fr-FR"/>
        </w:rPr>
        <w:t xml:space="preserve">sur la base </w:t>
      </w:r>
      <w:r w:rsidRPr="00A86354">
        <w:rPr>
          <w:rFonts w:cs="Arial"/>
          <w:lang w:val="fr-FR"/>
        </w:rPr>
        <w:t>de contrats à durée déterminée.</w:t>
      </w:r>
      <w:r w:rsidRPr="00A86354" w:rsidR="00A2139B">
        <w:rPr>
          <w:rFonts w:cs="Arial"/>
          <w:lang w:val="fr-FR"/>
        </w:rPr>
        <w:t xml:space="preserve">  </w:t>
      </w:r>
    </w:p>
    <w:p w:rsidRPr="00A86354" w:rsidR="00853F6A" w:rsidP="00A86354" w:rsidRDefault="00853F6A" w14:paraId="282C904F" w14:textId="7831EFA8">
      <w:pPr>
        <w:pStyle w:val="ListParagraph"/>
        <w:rPr>
          <w:rFonts w:cs="Arial"/>
          <w:lang w:val="fr-FR"/>
        </w:rPr>
      </w:pPr>
    </w:p>
    <w:p w:rsidRPr="00A86354" w:rsidR="00853F6A" w:rsidP="00CE016A" w:rsidRDefault="00E97244" w14:paraId="649CF300" w14:textId="2B2E1530">
      <w:pPr>
        <w:pStyle w:val="ListParagraph"/>
        <w:numPr>
          <w:ilvl w:val="0"/>
          <w:numId w:val="1"/>
        </w:numPr>
        <w:ind w:left="0" w:firstLine="0"/>
        <w:rPr>
          <w:rFonts w:cs="Arial"/>
          <w:lang w:val="fr-FR"/>
        </w:rPr>
      </w:pPr>
      <w:r w:rsidRPr="00A86354">
        <w:rPr>
          <w:rFonts w:cs="Arial"/>
          <w:lang w:val="fr-FR"/>
        </w:rPr>
        <w:t>Les organisations réclamantes</w:t>
      </w:r>
      <w:r w:rsidRPr="00A86354" w:rsidR="00C23E0A">
        <w:rPr>
          <w:rFonts w:cs="Arial"/>
          <w:lang w:val="fr-FR"/>
        </w:rPr>
        <w:t xml:space="preserve"> </w:t>
      </w:r>
      <w:r w:rsidRPr="00A86354" w:rsidR="00EB51A1">
        <w:rPr>
          <w:rFonts w:cs="Arial"/>
          <w:lang w:val="fr-FR"/>
        </w:rPr>
        <w:t>soutiennent qu</w:t>
      </w:r>
      <w:r w:rsidRPr="00A86354" w:rsidR="0006032C">
        <w:rPr>
          <w:rFonts w:cs="Arial"/>
          <w:lang w:val="fr-FR"/>
        </w:rPr>
        <w:t>’</w:t>
      </w:r>
      <w:r w:rsidRPr="00A86354" w:rsidR="00EB51A1">
        <w:rPr>
          <w:rFonts w:cs="Arial"/>
          <w:lang w:val="fr-FR"/>
        </w:rPr>
        <w:t>aucune mesure n</w:t>
      </w:r>
      <w:r w:rsidRPr="00A86354" w:rsidR="0006032C">
        <w:rPr>
          <w:rFonts w:cs="Arial"/>
          <w:lang w:val="fr-FR"/>
        </w:rPr>
        <w:t>’</w:t>
      </w:r>
      <w:r w:rsidRPr="00A86354" w:rsidR="00EB51A1">
        <w:rPr>
          <w:rFonts w:cs="Arial"/>
          <w:lang w:val="fr-FR"/>
        </w:rPr>
        <w:t>a été prise pour mettre en œuvre des politiques publiques d</w:t>
      </w:r>
      <w:r w:rsidRPr="00A86354" w:rsidR="0006032C">
        <w:rPr>
          <w:rFonts w:cs="Arial"/>
          <w:lang w:val="fr-FR"/>
        </w:rPr>
        <w:t>’</w:t>
      </w:r>
      <w:r w:rsidRPr="00A86354" w:rsidR="00EB51A1">
        <w:rPr>
          <w:rFonts w:cs="Arial"/>
          <w:lang w:val="fr-FR"/>
        </w:rPr>
        <w:t>accès à l</w:t>
      </w:r>
      <w:r w:rsidRPr="00A86354" w:rsidR="0006032C">
        <w:rPr>
          <w:rFonts w:cs="Arial"/>
          <w:lang w:val="fr-FR"/>
        </w:rPr>
        <w:t>’</w:t>
      </w:r>
      <w:r w:rsidRPr="00A86354" w:rsidR="00EB51A1">
        <w:rPr>
          <w:rFonts w:cs="Arial"/>
          <w:lang w:val="fr-FR"/>
        </w:rPr>
        <w:t xml:space="preserve">éducation des élèves handicapés sur la base de statistiques consolidées. Elles soutiennent également que les chiffres de la scolarisation des enfants handicapés en milieu ordinaire fournis par le </w:t>
      </w:r>
      <w:r w:rsidRPr="00A86354" w:rsidR="00AE34AC">
        <w:rPr>
          <w:rFonts w:cs="Arial"/>
          <w:lang w:val="fr-FR"/>
        </w:rPr>
        <w:t>Gouvernement</w:t>
      </w:r>
      <w:r w:rsidRPr="00A86354" w:rsidR="00EB51A1">
        <w:rPr>
          <w:rFonts w:cs="Arial"/>
          <w:lang w:val="fr-FR"/>
        </w:rPr>
        <w:t xml:space="preserve"> n</w:t>
      </w:r>
      <w:r w:rsidRPr="00A86354" w:rsidR="0006032C">
        <w:rPr>
          <w:rFonts w:cs="Arial"/>
          <w:lang w:val="fr-FR"/>
        </w:rPr>
        <w:t>’</w:t>
      </w:r>
      <w:r w:rsidRPr="00A86354" w:rsidR="00EB51A1">
        <w:rPr>
          <w:rFonts w:cs="Arial"/>
          <w:lang w:val="fr-FR"/>
        </w:rPr>
        <w:t>illustrent en rien la réalité de la situation en raison d</w:t>
      </w:r>
      <w:r w:rsidRPr="00A86354" w:rsidR="0006032C">
        <w:rPr>
          <w:rFonts w:cs="Arial"/>
          <w:lang w:val="fr-FR"/>
        </w:rPr>
        <w:t>’</w:t>
      </w:r>
      <w:r w:rsidRPr="00A86354" w:rsidR="00EB51A1">
        <w:rPr>
          <w:rFonts w:cs="Arial"/>
          <w:lang w:val="fr-FR"/>
        </w:rPr>
        <w:t>un manque de données statistiques fiables</w:t>
      </w:r>
      <w:r w:rsidRPr="00A86354" w:rsidR="00503C03">
        <w:rPr>
          <w:rFonts w:cs="Arial"/>
          <w:lang w:val="fr-FR"/>
        </w:rPr>
        <w:t>.</w:t>
      </w:r>
      <w:r w:rsidRPr="00A86354" w:rsidR="00EB51A1">
        <w:rPr>
          <w:rFonts w:cs="Arial"/>
          <w:lang w:val="fr-FR"/>
        </w:rPr>
        <w:t xml:space="preserve"> Elles font cependant valoir, sur la base de rapports nationaux</w:t>
      </w:r>
      <w:r w:rsidRPr="00A86354" w:rsidR="001D55EE">
        <w:rPr>
          <w:rFonts w:cs="Arial"/>
          <w:lang w:val="fr-FR"/>
        </w:rPr>
        <w:t xml:space="preserve"> (</w:t>
      </w:r>
      <w:r w:rsidRPr="00A86354" w:rsidR="00EB51A1">
        <w:rPr>
          <w:rFonts w:cs="Arial"/>
          <w:lang w:val="fr-FR"/>
        </w:rPr>
        <w:t xml:space="preserve">rapport </w:t>
      </w:r>
      <w:r w:rsidRPr="00A86354" w:rsidR="001D55EE">
        <w:rPr>
          <w:rFonts w:cs="Arial"/>
          <w:lang w:val="fr-FR"/>
        </w:rPr>
        <w:t xml:space="preserve">IGF-IGAS-IGEN-IGAENR </w:t>
      </w:r>
      <w:r w:rsidRPr="00A86354" w:rsidR="00EB51A1">
        <w:rPr>
          <w:rFonts w:cs="Arial"/>
          <w:lang w:val="fr-FR"/>
        </w:rPr>
        <w:t>de dé</w:t>
      </w:r>
      <w:r w:rsidRPr="00A86354" w:rsidR="001D55EE">
        <w:rPr>
          <w:rFonts w:cs="Arial"/>
          <w:lang w:val="fr-FR"/>
        </w:rPr>
        <w:t>cemb</w:t>
      </w:r>
      <w:r w:rsidRPr="00A86354" w:rsidR="00EB51A1">
        <w:rPr>
          <w:rFonts w:cs="Arial"/>
          <w:lang w:val="fr-FR"/>
        </w:rPr>
        <w:t>re</w:t>
      </w:r>
      <w:r w:rsidRPr="00A86354" w:rsidR="001D55EE">
        <w:rPr>
          <w:rFonts w:cs="Arial"/>
          <w:lang w:val="fr-FR"/>
        </w:rPr>
        <w:t xml:space="preserve"> 2014 </w:t>
      </w:r>
      <w:r w:rsidRPr="00A86354" w:rsidR="00811053">
        <w:rPr>
          <w:rFonts w:cs="Arial"/>
          <w:lang w:val="fr-FR"/>
        </w:rPr>
        <w:t>sur les unités d</w:t>
      </w:r>
      <w:r w:rsidRPr="00A86354" w:rsidR="0006032C">
        <w:rPr>
          <w:rFonts w:cs="Arial"/>
          <w:lang w:val="fr-FR"/>
        </w:rPr>
        <w:t>’</w:t>
      </w:r>
      <w:r w:rsidRPr="00A86354" w:rsidR="00811053">
        <w:rPr>
          <w:rFonts w:cs="Arial"/>
          <w:lang w:val="fr-FR"/>
        </w:rPr>
        <w:t xml:space="preserve">enseignement </w:t>
      </w:r>
      <w:r w:rsidRPr="00A86354" w:rsidR="00EB51A1">
        <w:rPr>
          <w:rFonts w:cs="Arial"/>
          <w:lang w:val="fr-FR"/>
        </w:rPr>
        <w:t>dans les</w:t>
      </w:r>
      <w:r w:rsidRPr="00A86354" w:rsidR="00EB6C15">
        <w:rPr>
          <w:rFonts w:cs="Arial"/>
          <w:lang w:val="fr-FR"/>
        </w:rPr>
        <w:t xml:space="preserve"> </w:t>
      </w:r>
      <w:r w:rsidRPr="00A86354" w:rsidR="00811053">
        <w:rPr>
          <w:rFonts w:cs="Arial"/>
          <w:lang w:val="fr-FR"/>
        </w:rPr>
        <w:t xml:space="preserve">établissements médico-sociaux </w:t>
      </w:r>
      <w:r w:rsidRPr="00A86354" w:rsidR="00EB51A1">
        <w:rPr>
          <w:rFonts w:cs="Arial"/>
          <w:lang w:val="fr-FR"/>
        </w:rPr>
        <w:t>et de santé</w:t>
      </w:r>
      <w:r w:rsidRPr="00A86354" w:rsidR="001D55EE">
        <w:rPr>
          <w:rFonts w:cs="Arial"/>
          <w:lang w:val="fr-FR"/>
        </w:rPr>
        <w:t xml:space="preserve">) </w:t>
      </w:r>
      <w:r w:rsidRPr="00A86354" w:rsidR="00EB6C15">
        <w:rPr>
          <w:rFonts w:cs="Arial"/>
          <w:lang w:val="fr-FR"/>
        </w:rPr>
        <w:t xml:space="preserve">que de nombreux enfants et jeunes handicapés </w:t>
      </w:r>
      <w:r w:rsidRPr="00A86354" w:rsidR="000B3D0A">
        <w:rPr>
          <w:rFonts w:cs="Arial"/>
          <w:lang w:val="fr-FR"/>
        </w:rPr>
        <w:t>[</w:t>
      </w:r>
      <w:r w:rsidRPr="00A86354" w:rsidR="00EB6C15">
        <w:rPr>
          <w:rFonts w:cs="Arial"/>
          <w:lang w:val="fr-FR"/>
        </w:rPr>
        <w:t>entre</w:t>
      </w:r>
      <w:r w:rsidRPr="00A86354" w:rsidR="001D55EE">
        <w:rPr>
          <w:rFonts w:cs="Arial"/>
          <w:lang w:val="fr-FR"/>
        </w:rPr>
        <w:t xml:space="preserve"> 10</w:t>
      </w:r>
      <w:r w:rsidRPr="00A86354" w:rsidR="00EB6C15">
        <w:rPr>
          <w:rFonts w:cs="Arial"/>
          <w:lang w:val="fr-FR"/>
        </w:rPr>
        <w:t> </w:t>
      </w:r>
      <w:r w:rsidRPr="00A86354" w:rsidR="001D55EE">
        <w:rPr>
          <w:rFonts w:cs="Arial"/>
          <w:lang w:val="fr-FR"/>
        </w:rPr>
        <w:t xml:space="preserve">000 </w:t>
      </w:r>
      <w:r w:rsidRPr="00A86354" w:rsidR="00EB6C15">
        <w:rPr>
          <w:rFonts w:cs="Arial"/>
          <w:lang w:val="fr-FR"/>
        </w:rPr>
        <w:t>et</w:t>
      </w:r>
      <w:r w:rsidRPr="00A86354" w:rsidR="001D55EE">
        <w:rPr>
          <w:rFonts w:cs="Arial"/>
          <w:lang w:val="fr-FR"/>
        </w:rPr>
        <w:t xml:space="preserve"> 30</w:t>
      </w:r>
      <w:r w:rsidRPr="00A86354" w:rsidR="00EB6C15">
        <w:rPr>
          <w:rFonts w:cs="Arial"/>
          <w:lang w:val="fr-FR"/>
        </w:rPr>
        <w:t> </w:t>
      </w:r>
      <w:r w:rsidRPr="00A86354" w:rsidR="001D55EE">
        <w:rPr>
          <w:rFonts w:cs="Arial"/>
          <w:lang w:val="fr-FR"/>
        </w:rPr>
        <w:t>000</w:t>
      </w:r>
      <w:r w:rsidRPr="00A86354" w:rsidR="000B3D0A">
        <w:rPr>
          <w:rFonts w:cs="Arial"/>
          <w:lang w:val="fr-FR"/>
        </w:rPr>
        <w:t>]</w:t>
      </w:r>
      <w:r w:rsidRPr="00A86354" w:rsidR="001D55EE">
        <w:rPr>
          <w:rFonts w:cs="Arial"/>
          <w:lang w:val="fr-FR"/>
        </w:rPr>
        <w:t xml:space="preserve"> </w:t>
      </w:r>
      <w:r w:rsidRPr="00A86354" w:rsidR="00EB6C15">
        <w:rPr>
          <w:rFonts w:cs="Arial"/>
          <w:lang w:val="fr-FR"/>
        </w:rPr>
        <w:t>ne sont pas scolarisés</w:t>
      </w:r>
      <w:r w:rsidRPr="00A86354" w:rsidR="001D55EE">
        <w:rPr>
          <w:rFonts w:cs="Arial"/>
          <w:lang w:val="fr-FR"/>
        </w:rPr>
        <w:t xml:space="preserve">. EDF </w:t>
      </w:r>
      <w:r w:rsidRPr="00A86354" w:rsidR="00EB6C15">
        <w:rPr>
          <w:rFonts w:cs="Arial"/>
          <w:lang w:val="fr-FR"/>
        </w:rPr>
        <w:t>et</w:t>
      </w:r>
      <w:r w:rsidRPr="00A86354" w:rsidR="001D55EE">
        <w:rPr>
          <w:rFonts w:cs="Arial"/>
          <w:lang w:val="fr-FR"/>
        </w:rPr>
        <w:t xml:space="preserve"> Inclusion Europe </w:t>
      </w:r>
      <w:r w:rsidRPr="00A86354" w:rsidR="00EB6C15">
        <w:rPr>
          <w:rFonts w:cs="Arial"/>
          <w:lang w:val="fr-FR"/>
        </w:rPr>
        <w:t>mentionnent également un rapport plus récent</w:t>
      </w:r>
      <w:r w:rsidRPr="00A86354" w:rsidR="001D55EE">
        <w:rPr>
          <w:rFonts w:cs="Arial"/>
          <w:lang w:val="fr-FR"/>
        </w:rPr>
        <w:t xml:space="preserve"> </w:t>
      </w:r>
      <w:r w:rsidRPr="00A86354" w:rsidR="00EB6C15">
        <w:rPr>
          <w:rFonts w:cs="Arial"/>
          <w:lang w:val="fr-FR"/>
        </w:rPr>
        <w:t>du Secrétariat d</w:t>
      </w:r>
      <w:r w:rsidRPr="00A86354" w:rsidR="0006032C">
        <w:rPr>
          <w:rFonts w:cs="Arial"/>
          <w:lang w:val="fr-FR"/>
        </w:rPr>
        <w:t>’</w:t>
      </w:r>
      <w:r w:rsidRPr="00A86354" w:rsidR="00EB6C15">
        <w:rPr>
          <w:rFonts w:cs="Arial"/>
          <w:lang w:val="fr-FR"/>
        </w:rPr>
        <w:t xml:space="preserve">État chargé des personnes handicapées et de la Direction </w:t>
      </w:r>
      <w:r w:rsidRPr="00A86354" w:rsidR="008E226E">
        <w:rPr>
          <w:rFonts w:cs="Arial"/>
          <w:lang w:val="fr-FR"/>
        </w:rPr>
        <w:t>g</w:t>
      </w:r>
      <w:r w:rsidRPr="00A86354" w:rsidR="00EB6C15">
        <w:rPr>
          <w:rFonts w:cs="Arial"/>
          <w:lang w:val="fr-FR"/>
        </w:rPr>
        <w:t xml:space="preserve">énérale de la </w:t>
      </w:r>
      <w:r w:rsidRPr="00A86354" w:rsidR="008E226E">
        <w:rPr>
          <w:rFonts w:cs="Arial"/>
          <w:lang w:val="fr-FR"/>
        </w:rPr>
        <w:t>c</w:t>
      </w:r>
      <w:r w:rsidRPr="00A86354" w:rsidR="00EB6C15">
        <w:rPr>
          <w:rFonts w:cs="Arial"/>
          <w:lang w:val="fr-FR"/>
        </w:rPr>
        <w:t xml:space="preserve">ohésion </w:t>
      </w:r>
      <w:r w:rsidRPr="00A86354" w:rsidR="008E226E">
        <w:rPr>
          <w:rFonts w:cs="Arial"/>
          <w:lang w:val="fr-FR"/>
        </w:rPr>
        <w:t>s</w:t>
      </w:r>
      <w:r w:rsidRPr="00A86354" w:rsidR="00EB6C15">
        <w:rPr>
          <w:rFonts w:cs="Arial"/>
          <w:lang w:val="fr-FR"/>
        </w:rPr>
        <w:t>ociale, Volet polyhandicap de la stratégie quinquennale de l</w:t>
      </w:r>
      <w:r w:rsidRPr="00A86354" w:rsidR="0006032C">
        <w:rPr>
          <w:rFonts w:cs="Arial"/>
          <w:lang w:val="fr-FR"/>
        </w:rPr>
        <w:t>’</w:t>
      </w:r>
      <w:r w:rsidRPr="00A86354" w:rsidR="00EB6C15">
        <w:rPr>
          <w:rFonts w:cs="Arial"/>
          <w:lang w:val="fr-FR"/>
        </w:rPr>
        <w:t>évolution de l</w:t>
      </w:r>
      <w:r w:rsidRPr="00A86354" w:rsidR="0006032C">
        <w:rPr>
          <w:rFonts w:cs="Arial"/>
          <w:lang w:val="fr-FR"/>
        </w:rPr>
        <w:t>’</w:t>
      </w:r>
      <w:r w:rsidRPr="00A86354" w:rsidR="00EB6C15">
        <w:rPr>
          <w:rFonts w:cs="Arial"/>
          <w:lang w:val="fr-FR"/>
        </w:rPr>
        <w:t xml:space="preserve">offre – Comité de pilotage du 6 novembre 2018 </w:t>
      </w:r>
      <w:r w:rsidRPr="00A86354" w:rsidR="00853F6A">
        <w:rPr>
          <w:rFonts w:cs="Arial"/>
          <w:lang w:val="fr-FR"/>
        </w:rPr>
        <w:t xml:space="preserve">concernant la scolarisation des enfants polyhandicapés, </w:t>
      </w:r>
      <w:r w:rsidRPr="00A86354" w:rsidR="00EB6C15">
        <w:rPr>
          <w:rFonts w:cs="Arial"/>
          <w:lang w:val="fr-FR"/>
        </w:rPr>
        <w:t xml:space="preserve">qui indique que 76 % des enfants polyhandicapés ne sont pas scolarisés et </w:t>
      </w:r>
      <w:r w:rsidRPr="00A86354" w:rsidR="00C54DAA">
        <w:rPr>
          <w:rFonts w:cs="Arial"/>
          <w:lang w:val="fr-FR"/>
        </w:rPr>
        <w:t xml:space="preserve">que </w:t>
      </w:r>
      <w:r w:rsidRPr="00A86354" w:rsidR="00EB6C15">
        <w:rPr>
          <w:rFonts w:cs="Arial"/>
          <w:lang w:val="fr-FR"/>
        </w:rPr>
        <w:t xml:space="preserve">69 % </w:t>
      </w:r>
      <w:r w:rsidRPr="00A86354" w:rsidR="00C54DAA">
        <w:rPr>
          <w:rFonts w:cs="Arial"/>
          <w:lang w:val="fr-FR"/>
        </w:rPr>
        <w:t>de ceux</w:t>
      </w:r>
      <w:r w:rsidRPr="00A86354" w:rsidR="00EB6C15">
        <w:rPr>
          <w:rFonts w:cs="Arial"/>
          <w:lang w:val="fr-FR"/>
        </w:rPr>
        <w:t xml:space="preserve"> </w:t>
      </w:r>
      <w:r w:rsidRPr="00A86354" w:rsidR="00C54DAA">
        <w:rPr>
          <w:rFonts w:cs="Arial"/>
          <w:lang w:val="fr-FR"/>
        </w:rPr>
        <w:t>qui sont scolarisés le sont moins de six</w:t>
      </w:r>
      <w:r w:rsidRPr="00A86354" w:rsidR="00EB6C15">
        <w:rPr>
          <w:rFonts w:cs="Arial"/>
          <w:lang w:val="fr-FR"/>
        </w:rPr>
        <w:t xml:space="preserve"> heures par semaine</w:t>
      </w:r>
      <w:r w:rsidRPr="00A86354" w:rsidR="001D55EE">
        <w:rPr>
          <w:rFonts w:cs="Arial"/>
          <w:lang w:val="fr-FR"/>
        </w:rPr>
        <w:t>.</w:t>
      </w:r>
    </w:p>
    <w:p w:rsidRPr="00A86354" w:rsidR="00853F6A" w:rsidP="00A86354" w:rsidRDefault="00853F6A" w14:paraId="5066D6B8" w14:textId="77777777">
      <w:pPr>
        <w:pStyle w:val="ListParagraph"/>
        <w:rPr>
          <w:rFonts w:cs="Arial"/>
          <w:lang w:val="fr-FR"/>
        </w:rPr>
      </w:pPr>
    </w:p>
    <w:p w:rsidRPr="00A86354" w:rsidR="0020210F" w:rsidP="00CE016A" w:rsidRDefault="002E525F" w14:paraId="5BDE30F7" w14:textId="2084435B">
      <w:pPr>
        <w:pStyle w:val="ListParagraph"/>
        <w:numPr>
          <w:ilvl w:val="0"/>
          <w:numId w:val="1"/>
        </w:numPr>
        <w:ind w:left="0" w:firstLine="0"/>
        <w:rPr>
          <w:rFonts w:cs="Arial"/>
          <w:lang w:val="fr-FR"/>
        </w:rPr>
      </w:pPr>
      <w:r w:rsidRPr="00A86354">
        <w:rPr>
          <w:rFonts w:cs="Arial"/>
          <w:lang w:val="fr-FR"/>
        </w:rPr>
        <w:t>Concern</w:t>
      </w:r>
      <w:r w:rsidRPr="00A86354" w:rsidR="00706ADF">
        <w:rPr>
          <w:rFonts w:cs="Arial"/>
          <w:lang w:val="fr-FR"/>
        </w:rPr>
        <w:t>ant l</w:t>
      </w:r>
      <w:r w:rsidRPr="00A86354" w:rsidR="0006032C">
        <w:rPr>
          <w:rFonts w:cs="Arial"/>
          <w:lang w:val="fr-FR"/>
        </w:rPr>
        <w:t>’</w:t>
      </w:r>
      <w:r w:rsidRPr="00A86354" w:rsidR="00706ADF">
        <w:rPr>
          <w:rFonts w:cs="Arial"/>
          <w:lang w:val="fr-FR"/>
        </w:rPr>
        <w:t>accessibilité des locaux des établissements d</w:t>
      </w:r>
      <w:r w:rsidRPr="00A86354" w:rsidR="0006032C">
        <w:rPr>
          <w:rFonts w:cs="Arial"/>
          <w:lang w:val="fr-FR"/>
        </w:rPr>
        <w:t>’</w:t>
      </w:r>
      <w:r w:rsidRPr="00A86354" w:rsidR="00706ADF">
        <w:rPr>
          <w:rFonts w:cs="Arial"/>
          <w:lang w:val="fr-FR"/>
        </w:rPr>
        <w:t>enseignement supérieur</w:t>
      </w:r>
      <w:r w:rsidRPr="00A86354">
        <w:rPr>
          <w:rFonts w:cs="Arial"/>
          <w:lang w:val="fr-FR"/>
        </w:rPr>
        <w:t>,</w:t>
      </w:r>
      <w:r w:rsidRPr="00A86354" w:rsidR="00EB6C15">
        <w:rPr>
          <w:rFonts w:cs="Arial"/>
          <w:lang w:val="fr-FR"/>
        </w:rPr>
        <w:t xml:space="preserve"> l</w:t>
      </w:r>
      <w:r w:rsidRPr="00A86354" w:rsidR="00E97244">
        <w:rPr>
          <w:rFonts w:cs="Arial"/>
          <w:lang w:val="fr-FR"/>
        </w:rPr>
        <w:t>es organisations réclamantes</w:t>
      </w:r>
      <w:r w:rsidRPr="00A86354" w:rsidR="00706ADF">
        <w:rPr>
          <w:rFonts w:cs="Arial"/>
          <w:lang w:val="fr-FR"/>
        </w:rPr>
        <w:t xml:space="preserve"> citent</w:t>
      </w:r>
      <w:r w:rsidRPr="00A86354">
        <w:rPr>
          <w:rFonts w:cs="Arial"/>
          <w:lang w:val="fr-FR"/>
        </w:rPr>
        <w:t xml:space="preserve"> </w:t>
      </w:r>
      <w:r w:rsidRPr="00A86354" w:rsidR="00706ADF">
        <w:rPr>
          <w:rFonts w:cs="Arial"/>
          <w:lang w:val="fr-FR"/>
        </w:rPr>
        <w:t>un rapport de l</w:t>
      </w:r>
      <w:r w:rsidRPr="00A86354" w:rsidR="0006032C">
        <w:rPr>
          <w:rFonts w:cs="Arial"/>
          <w:lang w:val="fr-FR"/>
        </w:rPr>
        <w:t>’</w:t>
      </w:r>
      <w:r w:rsidRPr="00A86354" w:rsidR="00706ADF">
        <w:rPr>
          <w:rFonts w:cs="Arial"/>
          <w:lang w:val="fr-FR"/>
        </w:rPr>
        <w:t>Assemblée nationale de 2016 (</w:t>
      </w:r>
      <w:r w:rsidRPr="00A86354" w:rsidR="004C1E87">
        <w:rPr>
          <w:rFonts w:cs="Arial"/>
          <w:lang w:val="fr-FR"/>
        </w:rPr>
        <w:t>r</w:t>
      </w:r>
      <w:r w:rsidRPr="00A86354" w:rsidR="00706ADF">
        <w:rPr>
          <w:rFonts w:cs="Arial"/>
          <w:lang w:val="fr-FR"/>
        </w:rPr>
        <w:t>apport fait au nom de la commission des finances, de l</w:t>
      </w:r>
      <w:r w:rsidRPr="00A86354" w:rsidR="0006032C">
        <w:rPr>
          <w:rFonts w:cs="Arial"/>
          <w:lang w:val="fr-FR"/>
        </w:rPr>
        <w:t>’</w:t>
      </w:r>
      <w:r w:rsidRPr="00A86354" w:rsidR="00706ADF">
        <w:rPr>
          <w:rFonts w:cs="Arial"/>
          <w:lang w:val="fr-FR"/>
        </w:rPr>
        <w:t>économie générale et du contrôle budgétaire sur le projet de loi après engagement de la procédure accélérée, de règlement du budget et d</w:t>
      </w:r>
      <w:r w:rsidRPr="00A86354" w:rsidR="0006032C">
        <w:rPr>
          <w:rFonts w:cs="Arial"/>
          <w:lang w:val="fr-FR"/>
        </w:rPr>
        <w:t>’</w:t>
      </w:r>
      <w:r w:rsidRPr="00A86354" w:rsidR="00706ADF">
        <w:rPr>
          <w:rFonts w:cs="Arial"/>
          <w:lang w:val="fr-FR"/>
        </w:rPr>
        <w:t>approbation des comptes de l</w:t>
      </w:r>
      <w:r w:rsidRPr="00A86354" w:rsidR="0006032C">
        <w:rPr>
          <w:rFonts w:cs="Arial"/>
          <w:lang w:val="fr-FR"/>
        </w:rPr>
        <w:t>’</w:t>
      </w:r>
      <w:r w:rsidRPr="00A86354" w:rsidR="00706ADF">
        <w:rPr>
          <w:rFonts w:cs="Arial"/>
          <w:lang w:val="fr-FR"/>
        </w:rPr>
        <w:t>année 2016) et constatent le report de travaux de mise en accessibilité des locaux des établissements publics d</w:t>
      </w:r>
      <w:r w:rsidRPr="00A86354" w:rsidR="0006032C">
        <w:rPr>
          <w:rFonts w:cs="Arial"/>
          <w:lang w:val="fr-FR"/>
        </w:rPr>
        <w:t>’</w:t>
      </w:r>
      <w:r w:rsidRPr="00A86354" w:rsidR="00706ADF">
        <w:rPr>
          <w:rFonts w:cs="Arial"/>
          <w:lang w:val="fr-FR"/>
        </w:rPr>
        <w:t>enseignement supérieur, alors même que des crédits avaient été rendus disponibles pour que les universités puissent réaliser ces travaux</w:t>
      </w:r>
      <w:r w:rsidRPr="00A86354">
        <w:rPr>
          <w:rFonts w:cs="Arial"/>
          <w:lang w:val="fr-FR"/>
        </w:rPr>
        <w:t xml:space="preserve">. </w:t>
      </w:r>
    </w:p>
    <w:p w:rsidRPr="00A86354" w:rsidR="00853F6A" w:rsidP="00A86354" w:rsidRDefault="00853F6A" w14:paraId="6B78A994" w14:textId="0F0E8B54">
      <w:pPr>
        <w:pStyle w:val="ListParagraph"/>
        <w:rPr>
          <w:rFonts w:cs="Arial"/>
          <w:lang w:val="fr-FR"/>
        </w:rPr>
      </w:pPr>
    </w:p>
    <w:p w:rsidRPr="00A86354" w:rsidR="00853F6A" w:rsidP="00CE016A" w:rsidRDefault="00853F6A" w14:paraId="22E8FF82" w14:textId="45784EB0">
      <w:pPr>
        <w:numPr>
          <w:ilvl w:val="0"/>
          <w:numId w:val="1"/>
        </w:numPr>
        <w:ind w:left="0" w:firstLine="0"/>
        <w:rPr>
          <w:rFonts w:ascii="Arial" w:hAnsi="Arial" w:cs="Arial"/>
          <w:lang w:val="fr-FR"/>
        </w:rPr>
      </w:pPr>
      <w:r w:rsidRPr="00A86354">
        <w:rPr>
          <w:rFonts w:ascii="Arial" w:hAnsi="Arial" w:cs="Arial"/>
          <w:lang w:val="fr-FR"/>
        </w:rPr>
        <w:t xml:space="preserve">En ce qui concerne l'accès à l'éducation des enfants autistes, EDF et Inclusion Europe affirment qu'en raison de l'inadéquation des services de soutien, près de 80% des enfants autistes sont exclus du système éducatif ordinaire. </w:t>
      </w:r>
      <w:r w:rsidRPr="00A86354" w:rsidR="008E226E">
        <w:rPr>
          <w:rFonts w:ascii="Arial" w:hAnsi="Arial" w:cs="Arial"/>
          <w:lang w:val="fr-FR"/>
        </w:rPr>
        <w:t xml:space="preserve">Les organisations réclamantes </w:t>
      </w:r>
      <w:r w:rsidRPr="00A86354">
        <w:rPr>
          <w:rFonts w:ascii="Arial" w:hAnsi="Arial" w:cs="Arial"/>
          <w:lang w:val="fr-FR"/>
        </w:rPr>
        <w:t xml:space="preserve">se réfèrent </w:t>
      </w:r>
      <w:r w:rsidRPr="00A86354" w:rsidR="008E226E">
        <w:rPr>
          <w:rFonts w:ascii="Arial" w:hAnsi="Arial" w:cs="Arial"/>
          <w:lang w:val="fr-FR"/>
        </w:rPr>
        <w:t>aux affaires</w:t>
      </w:r>
      <w:r w:rsidRPr="00A86354" w:rsidR="008E226E">
        <w:rPr>
          <w:rFonts w:ascii="Arial" w:hAnsi="Arial"/>
          <w:lang w:val="fr-FR"/>
        </w:rPr>
        <w:t xml:space="preserve"> </w:t>
      </w:r>
      <w:r w:rsidRPr="00A86354">
        <w:rPr>
          <w:rFonts w:ascii="Arial" w:hAnsi="Arial"/>
          <w:lang w:val="fr-FR"/>
        </w:rPr>
        <w:t>Autism</w:t>
      </w:r>
      <w:r w:rsidR="008532B8">
        <w:rPr>
          <w:rFonts w:ascii="Arial" w:hAnsi="Arial"/>
          <w:lang w:val="fr-FR"/>
        </w:rPr>
        <w:t>e-</w:t>
      </w:r>
      <w:r w:rsidRPr="00A86354">
        <w:rPr>
          <w:rFonts w:ascii="Arial" w:hAnsi="Arial"/>
          <w:lang w:val="fr-FR"/>
        </w:rPr>
        <w:t xml:space="preserve">Europe c. France, </w:t>
      </w:r>
      <w:r w:rsidR="008532B8">
        <w:rPr>
          <w:rFonts w:ascii="Arial" w:hAnsi="Arial"/>
          <w:lang w:val="fr-FR"/>
        </w:rPr>
        <w:t xml:space="preserve">réclamation n° 13/2002, </w:t>
      </w:r>
      <w:r w:rsidRPr="00A86354">
        <w:rPr>
          <w:rFonts w:ascii="Arial" w:hAnsi="Arial"/>
          <w:i/>
          <w:iCs/>
          <w:lang w:val="fr-FR"/>
        </w:rPr>
        <w:t>op. cit</w:t>
      </w:r>
      <w:r w:rsidRPr="00A86354">
        <w:rPr>
          <w:rFonts w:ascii="Arial" w:hAnsi="Arial"/>
          <w:lang w:val="fr-FR"/>
        </w:rPr>
        <w:t xml:space="preserve">. et AEH c. </w:t>
      </w:r>
      <w:r w:rsidRPr="00A86354" w:rsidR="00E96536">
        <w:rPr>
          <w:rFonts w:ascii="Arial" w:hAnsi="Arial"/>
          <w:lang w:val="fr-FR"/>
        </w:rPr>
        <w:t>France, réclamation n° 81/2012</w:t>
      </w:r>
      <w:r w:rsidRPr="00A86354">
        <w:rPr>
          <w:rFonts w:ascii="Arial" w:hAnsi="Arial"/>
          <w:lang w:val="fr-FR"/>
        </w:rPr>
        <w:t xml:space="preserve">, </w:t>
      </w:r>
      <w:r w:rsidRPr="00A86354">
        <w:rPr>
          <w:rFonts w:ascii="Arial" w:hAnsi="Arial"/>
          <w:i/>
          <w:iCs/>
          <w:lang w:val="fr-FR"/>
        </w:rPr>
        <w:t>op. cit</w:t>
      </w:r>
      <w:r w:rsidRPr="00A86354">
        <w:rPr>
          <w:rFonts w:ascii="Arial" w:hAnsi="Arial"/>
          <w:lang w:val="fr-FR"/>
        </w:rPr>
        <w:t xml:space="preserve">., </w:t>
      </w:r>
      <w:r w:rsidRPr="00A86354" w:rsidR="008E226E">
        <w:rPr>
          <w:rFonts w:ascii="Arial" w:hAnsi="Arial"/>
          <w:lang w:val="fr-FR"/>
        </w:rPr>
        <w:t xml:space="preserve">à </w:t>
      </w:r>
      <w:r w:rsidRPr="00A86354">
        <w:rPr>
          <w:rFonts w:ascii="Arial" w:hAnsi="Arial"/>
          <w:lang w:val="fr-FR"/>
        </w:rPr>
        <w:t xml:space="preserve">un certain nombre de décisions judiciaires internes dont </w:t>
      </w:r>
      <w:r w:rsidRPr="00A86354" w:rsidR="008E226E">
        <w:rPr>
          <w:rFonts w:ascii="Arial" w:hAnsi="Arial"/>
          <w:lang w:val="fr-FR"/>
        </w:rPr>
        <w:t>celles du</w:t>
      </w:r>
      <w:r w:rsidRPr="00A86354">
        <w:rPr>
          <w:rFonts w:ascii="Arial" w:hAnsi="Arial"/>
          <w:lang w:val="fr-FR"/>
        </w:rPr>
        <w:t xml:space="preserve"> Conseil d'État, ainsi qu</w:t>
      </w:r>
      <w:r w:rsidRPr="00A86354" w:rsidR="008E226E">
        <w:rPr>
          <w:rFonts w:ascii="Arial" w:hAnsi="Arial"/>
          <w:lang w:val="fr-FR"/>
        </w:rPr>
        <w:t>’aux</w:t>
      </w:r>
      <w:r w:rsidRPr="00A86354">
        <w:rPr>
          <w:rFonts w:ascii="Arial" w:hAnsi="Arial"/>
          <w:lang w:val="fr-FR"/>
        </w:rPr>
        <w:t xml:space="preserve"> observations finales 2017 du Comité des droits de l'enfant - cinquième rapport périodique de la France, 2016. De plus, en raison de l'indisponibilité des SESSAD (Service d'éducation spéciale et de soins à domicile), de nombreux enfants autistes ne peuvent pas fréquenter leur école de quartier et sont orientés vers un établissement spécialisé, l'IME (</w:t>
      </w:r>
      <w:r w:rsidRPr="00A86354">
        <w:rPr>
          <w:rFonts w:ascii="Arial" w:hAnsi="Arial"/>
          <w:i/>
          <w:iCs/>
          <w:lang w:val="fr-FR"/>
        </w:rPr>
        <w:t>Institut Médico-Educatif</w:t>
      </w:r>
      <w:r w:rsidRPr="00A86354">
        <w:rPr>
          <w:rFonts w:ascii="Arial" w:hAnsi="Arial"/>
          <w:lang w:val="fr-FR"/>
        </w:rPr>
        <w:t xml:space="preserve">), qui </w:t>
      </w:r>
      <w:r w:rsidRPr="00A86354" w:rsidR="008E226E">
        <w:rPr>
          <w:rFonts w:ascii="Arial" w:hAnsi="Arial"/>
          <w:lang w:val="fr-FR"/>
        </w:rPr>
        <w:t xml:space="preserve">est </w:t>
      </w:r>
      <w:r w:rsidRPr="00A86354">
        <w:rPr>
          <w:rFonts w:ascii="Arial" w:hAnsi="Arial"/>
          <w:lang w:val="fr-FR"/>
        </w:rPr>
        <w:t xml:space="preserve">en général </w:t>
      </w:r>
      <w:r w:rsidRPr="00A86354" w:rsidR="008E226E">
        <w:rPr>
          <w:rFonts w:ascii="Arial" w:hAnsi="Arial"/>
          <w:lang w:val="fr-FR"/>
        </w:rPr>
        <w:t>éloigné</w:t>
      </w:r>
      <w:r w:rsidRPr="00A86354">
        <w:rPr>
          <w:rFonts w:ascii="Arial" w:hAnsi="Arial"/>
          <w:lang w:val="fr-FR"/>
        </w:rPr>
        <w:t xml:space="preserve"> du domicile familial.  </w:t>
      </w:r>
      <w:r w:rsidRPr="00A86354">
        <w:rPr>
          <w:rFonts w:ascii="Arial" w:hAnsi="Arial" w:cs="Arial"/>
          <w:lang w:val="fr-FR"/>
        </w:rPr>
        <w:t xml:space="preserve"> </w:t>
      </w:r>
    </w:p>
    <w:p w:rsidRPr="00A86354" w:rsidR="00853F6A" w:rsidP="00A86354" w:rsidRDefault="00853F6A" w14:paraId="5F9EEDF3" w14:textId="77777777">
      <w:pPr>
        <w:rPr>
          <w:rFonts w:ascii="Arial" w:hAnsi="Arial" w:cs="Arial"/>
          <w:lang w:val="fr-FR"/>
        </w:rPr>
      </w:pPr>
    </w:p>
    <w:p w:rsidRPr="00A86354" w:rsidR="00853F6A" w:rsidP="00CE016A" w:rsidRDefault="00853F6A" w14:paraId="6F1B674E" w14:textId="77777777">
      <w:pPr>
        <w:numPr>
          <w:ilvl w:val="0"/>
          <w:numId w:val="1"/>
        </w:numPr>
        <w:ind w:left="0" w:firstLine="0"/>
        <w:rPr>
          <w:rFonts w:ascii="Arial" w:hAnsi="Arial" w:cs="Arial"/>
          <w:lang w:val="fr-FR"/>
        </w:rPr>
      </w:pPr>
      <w:r w:rsidRPr="00A86354">
        <w:rPr>
          <w:rFonts w:ascii="Arial" w:hAnsi="Arial" w:cs="Arial"/>
          <w:lang w:val="fr-FR"/>
        </w:rPr>
        <w:t xml:space="preserve">Compte tenu de ce qui précède, EDF et Inclusion Europe soutiennent que les mesures prises jusqu'à présent par la France pour garantir l'accès des enfants handicapés à l'éducation sont inefficaces dans la pratique, en violation de l'engagement pris par la France de "prendre les mesures nécessaires pour assurer aux personnes handicapées une orientation, une éducation et une formation </w:t>
      </w:r>
      <w:r w:rsidRPr="00A86354">
        <w:rPr>
          <w:rFonts w:ascii="Arial" w:hAnsi="Arial" w:cs="Arial"/>
          <w:lang w:val="fr-FR"/>
        </w:rPr>
        <w:lastRenderedPageBreak/>
        <w:t xml:space="preserve">professionnelle dans le cadre des régimes généraux, chaque fois que cela est possible". </w:t>
      </w:r>
    </w:p>
    <w:p w:rsidRPr="00A86354" w:rsidR="00853F6A" w:rsidP="00A86354" w:rsidRDefault="00853F6A" w14:paraId="0C3D3362" w14:textId="77777777">
      <w:pPr>
        <w:pStyle w:val="ListParagraph"/>
        <w:rPr>
          <w:rFonts w:cs="Arial"/>
          <w:lang w:val="fr-FR"/>
        </w:rPr>
      </w:pPr>
    </w:p>
    <w:p w:rsidRPr="00A86354" w:rsidR="00B815BC" w:rsidP="00B815BC" w:rsidRDefault="00B75CB1" w14:paraId="64E9A96A" w14:textId="78CC8503">
      <w:pPr>
        <w:rPr>
          <w:rFonts w:ascii="Arial" w:hAnsi="Arial" w:cs="Arial"/>
          <w:b/>
          <w:bCs/>
          <w:lang w:val="fr-FR"/>
        </w:rPr>
      </w:pPr>
      <w:r w:rsidRPr="00A86354">
        <w:rPr>
          <w:rFonts w:ascii="Arial" w:hAnsi="Arial" w:cs="Arial"/>
          <w:b/>
          <w:bCs/>
          <w:lang w:val="fr-FR"/>
        </w:rPr>
        <w:t xml:space="preserve">2.  </w:t>
      </w:r>
      <w:r w:rsidRPr="00A86354" w:rsidR="003C431F">
        <w:rPr>
          <w:rFonts w:ascii="Arial" w:hAnsi="Arial" w:cs="Arial"/>
          <w:b/>
          <w:bCs/>
          <w:lang w:val="fr-FR"/>
        </w:rPr>
        <w:tab/>
      </w:r>
      <w:r w:rsidRPr="00A86354" w:rsidR="00E97244">
        <w:rPr>
          <w:rFonts w:ascii="Arial" w:hAnsi="Arial" w:cs="Arial"/>
          <w:b/>
          <w:bCs/>
          <w:lang w:val="fr-FR"/>
        </w:rPr>
        <w:t xml:space="preserve">Le </w:t>
      </w:r>
      <w:r w:rsidRPr="00A86354" w:rsidR="00AE34AC">
        <w:rPr>
          <w:rFonts w:ascii="Arial" w:hAnsi="Arial" w:cs="Arial"/>
          <w:b/>
          <w:bCs/>
          <w:lang w:val="fr-FR"/>
        </w:rPr>
        <w:t>Gouvernement</w:t>
      </w:r>
      <w:r w:rsidRPr="00A86354" w:rsidR="00E97244">
        <w:rPr>
          <w:rFonts w:ascii="Arial" w:hAnsi="Arial" w:cs="Arial"/>
          <w:b/>
          <w:bCs/>
          <w:lang w:val="fr-FR"/>
        </w:rPr>
        <w:t xml:space="preserve"> défendeur</w:t>
      </w:r>
      <w:r w:rsidRPr="00A86354">
        <w:rPr>
          <w:rFonts w:ascii="Arial" w:hAnsi="Arial" w:cs="Arial"/>
          <w:b/>
          <w:bCs/>
          <w:lang w:val="fr-FR"/>
        </w:rPr>
        <w:t xml:space="preserve"> </w:t>
      </w:r>
    </w:p>
    <w:p w:rsidRPr="00A86354" w:rsidR="00B815BC" w:rsidP="00B815BC" w:rsidRDefault="00B815BC" w14:paraId="0411E9CD" w14:textId="77777777">
      <w:pPr>
        <w:rPr>
          <w:rFonts w:ascii="Arial" w:hAnsi="Arial" w:cs="Arial"/>
          <w:b/>
          <w:bCs/>
          <w:lang w:val="fr-FR"/>
        </w:rPr>
      </w:pPr>
    </w:p>
    <w:p w:rsidRPr="00A86354" w:rsidR="00B75CB1" w:rsidP="00CE016A" w:rsidRDefault="00F45E15" w14:paraId="2938209C" w14:textId="72D8DF53">
      <w:pPr>
        <w:pStyle w:val="ListParagraph"/>
        <w:numPr>
          <w:ilvl w:val="0"/>
          <w:numId w:val="1"/>
        </w:numPr>
        <w:ind w:left="0" w:firstLine="0"/>
        <w:rPr>
          <w:rFonts w:cs="Arial"/>
          <w:lang w:val="fr-FR"/>
        </w:rPr>
      </w:pPr>
      <w:r w:rsidRPr="00A86354">
        <w:rPr>
          <w:rFonts w:cs="Arial"/>
          <w:lang w:val="fr-FR"/>
        </w:rPr>
        <w:t xml:space="preserve">Le </w:t>
      </w:r>
      <w:r w:rsidRPr="00A86354" w:rsidR="00AE34AC">
        <w:rPr>
          <w:rFonts w:cs="Arial"/>
          <w:lang w:val="fr-FR"/>
        </w:rPr>
        <w:t>Gouvernement</w:t>
      </w:r>
      <w:r w:rsidRPr="00A86354">
        <w:rPr>
          <w:rFonts w:cs="Arial"/>
          <w:lang w:val="fr-FR"/>
        </w:rPr>
        <w:t xml:space="preserve"> fait valoir qu</w:t>
      </w:r>
      <w:r w:rsidRPr="00A86354" w:rsidR="0006032C">
        <w:rPr>
          <w:rFonts w:cs="Arial"/>
          <w:lang w:val="fr-FR"/>
        </w:rPr>
        <w:t>’</w:t>
      </w:r>
      <w:r w:rsidRPr="00A86354">
        <w:rPr>
          <w:rFonts w:cs="Arial"/>
          <w:lang w:val="fr-FR"/>
        </w:rPr>
        <w:t>un plan de transformation a été lancé pour permettre aux écoles d</w:t>
      </w:r>
      <w:r w:rsidRPr="00A86354" w:rsidR="0006032C">
        <w:rPr>
          <w:rFonts w:cs="Arial"/>
          <w:lang w:val="fr-FR"/>
        </w:rPr>
        <w:t>’</w:t>
      </w:r>
      <w:r w:rsidRPr="00A86354">
        <w:rPr>
          <w:rFonts w:cs="Arial"/>
          <w:lang w:val="fr-FR"/>
        </w:rPr>
        <w:t>être pleinement inclusives. Ce plan de transformation du système éducatif et médico-social prévoit de multiplier et diversifier les modes de scolarisation avec</w:t>
      </w:r>
      <w:r w:rsidRPr="00A86354" w:rsidR="000807D5">
        <w:rPr>
          <w:rFonts w:cs="Arial"/>
          <w:lang w:val="fr-FR"/>
        </w:rPr>
        <w:t> :</w:t>
      </w:r>
    </w:p>
    <w:p w:rsidRPr="00A86354" w:rsidR="003C431F" w:rsidP="003C431F" w:rsidRDefault="003C431F" w14:paraId="675CB910" w14:textId="77777777">
      <w:pPr>
        <w:pStyle w:val="ListParagraph"/>
        <w:rPr>
          <w:rFonts w:cs="Arial"/>
          <w:lang w:val="fr-FR"/>
        </w:rPr>
      </w:pPr>
    </w:p>
    <w:p w:rsidRPr="00A86354" w:rsidR="002B0D84" w:rsidP="00CE016A" w:rsidRDefault="00F45E15" w14:paraId="57E2224A" w14:textId="33B44100">
      <w:pPr>
        <w:pStyle w:val="ListParagraph"/>
        <w:numPr>
          <w:ilvl w:val="0"/>
          <w:numId w:val="2"/>
        </w:numPr>
        <w:rPr>
          <w:rFonts w:cs="Arial"/>
          <w:sz w:val="20"/>
          <w:szCs w:val="20"/>
          <w:lang w:val="fr-FR"/>
        </w:rPr>
      </w:pPr>
      <w:r w:rsidRPr="00A86354">
        <w:rPr>
          <w:rFonts w:cs="Arial"/>
          <w:sz w:val="20"/>
          <w:szCs w:val="20"/>
          <w:lang w:val="fr-FR"/>
        </w:rPr>
        <w:t>la création de 250 Unités locales d</w:t>
      </w:r>
      <w:r w:rsidRPr="00A86354" w:rsidR="0006032C">
        <w:rPr>
          <w:rFonts w:cs="Arial"/>
          <w:sz w:val="20"/>
          <w:szCs w:val="20"/>
          <w:lang w:val="fr-FR"/>
        </w:rPr>
        <w:t>’</w:t>
      </w:r>
      <w:r w:rsidRPr="00A86354">
        <w:rPr>
          <w:rFonts w:cs="Arial"/>
          <w:sz w:val="20"/>
          <w:szCs w:val="20"/>
          <w:lang w:val="fr-FR"/>
        </w:rPr>
        <w:t>inclusion scolaire (ULIS) supplémentaires en lycée durant le quinquennat</w:t>
      </w:r>
      <w:r w:rsidRPr="00A86354" w:rsidR="000807D5">
        <w:rPr>
          <w:rFonts w:cs="Arial"/>
          <w:sz w:val="20"/>
          <w:szCs w:val="20"/>
          <w:lang w:val="fr-FR"/>
        </w:rPr>
        <w:t> :</w:t>
      </w:r>
      <w:r w:rsidRPr="00A86354">
        <w:rPr>
          <w:rFonts w:cs="Arial"/>
          <w:sz w:val="20"/>
          <w:szCs w:val="20"/>
          <w:lang w:val="fr-FR"/>
        </w:rPr>
        <w:t xml:space="preserve"> 40 ULIS lycée ont été créées en 2017-2018 et 38 l</w:t>
      </w:r>
      <w:r w:rsidRPr="00A86354" w:rsidR="0006032C">
        <w:rPr>
          <w:rFonts w:cs="Arial"/>
          <w:sz w:val="20"/>
          <w:szCs w:val="20"/>
          <w:lang w:val="fr-FR"/>
        </w:rPr>
        <w:t>’</w:t>
      </w:r>
      <w:r w:rsidRPr="00A86354">
        <w:rPr>
          <w:rFonts w:cs="Arial"/>
          <w:sz w:val="20"/>
          <w:szCs w:val="20"/>
          <w:lang w:val="fr-FR"/>
        </w:rPr>
        <w:t>ont été à la rentrée 2018</w:t>
      </w:r>
      <w:r w:rsidRPr="00A86354" w:rsidR="000807D5">
        <w:rPr>
          <w:rFonts w:cs="Arial"/>
          <w:sz w:val="20"/>
          <w:szCs w:val="20"/>
          <w:lang w:val="fr-FR"/>
        </w:rPr>
        <w:t> ;</w:t>
      </w:r>
      <w:r w:rsidRPr="00A86354">
        <w:rPr>
          <w:rFonts w:cs="Arial"/>
          <w:sz w:val="20"/>
          <w:szCs w:val="20"/>
          <w:lang w:val="fr-FR"/>
        </w:rPr>
        <w:t xml:space="preserve"> </w:t>
      </w:r>
    </w:p>
    <w:p w:rsidRPr="00A86354" w:rsidR="002B0D84" w:rsidP="002B0D84" w:rsidRDefault="002B0D84" w14:paraId="194A62B4" w14:textId="77777777">
      <w:pPr>
        <w:ind w:left="426"/>
        <w:rPr>
          <w:rFonts w:ascii="Arial" w:hAnsi="Arial" w:cs="Arial"/>
          <w:sz w:val="20"/>
          <w:szCs w:val="20"/>
          <w:lang w:val="fr-FR"/>
        </w:rPr>
      </w:pPr>
    </w:p>
    <w:p w:rsidRPr="00A86354" w:rsidR="002B0D84" w:rsidP="00CE016A" w:rsidRDefault="00F45E15" w14:paraId="55B9437E" w14:textId="252E7C29">
      <w:pPr>
        <w:pStyle w:val="ListParagraph"/>
        <w:numPr>
          <w:ilvl w:val="0"/>
          <w:numId w:val="2"/>
        </w:numPr>
        <w:rPr>
          <w:rFonts w:cs="Arial"/>
          <w:sz w:val="20"/>
          <w:szCs w:val="20"/>
          <w:lang w:val="fr-FR"/>
        </w:rPr>
      </w:pPr>
      <w:r w:rsidRPr="00A86354">
        <w:rPr>
          <w:rFonts w:cs="Arial"/>
          <w:sz w:val="20"/>
          <w:szCs w:val="20"/>
          <w:lang w:val="fr-FR"/>
        </w:rPr>
        <w:t>le doublement d</w:t>
      </w:r>
      <w:r w:rsidRPr="00A86354" w:rsidR="0006032C">
        <w:rPr>
          <w:rFonts w:cs="Arial"/>
          <w:sz w:val="20"/>
          <w:szCs w:val="20"/>
          <w:lang w:val="fr-FR"/>
        </w:rPr>
        <w:t>’</w:t>
      </w:r>
      <w:r w:rsidRPr="00A86354">
        <w:rPr>
          <w:rFonts w:cs="Arial"/>
          <w:sz w:val="20"/>
          <w:szCs w:val="20"/>
          <w:lang w:val="fr-FR"/>
        </w:rPr>
        <w:t>ici 2020 du nombre d</w:t>
      </w:r>
      <w:r w:rsidRPr="00A86354" w:rsidR="0006032C">
        <w:rPr>
          <w:rFonts w:cs="Arial"/>
          <w:sz w:val="20"/>
          <w:szCs w:val="20"/>
          <w:lang w:val="fr-FR"/>
        </w:rPr>
        <w:t>’</w:t>
      </w:r>
      <w:r w:rsidRPr="00A86354">
        <w:rPr>
          <w:rFonts w:cs="Arial"/>
          <w:sz w:val="20"/>
          <w:szCs w:val="20"/>
          <w:lang w:val="fr-FR"/>
        </w:rPr>
        <w:t>unités d</w:t>
      </w:r>
      <w:r w:rsidRPr="00A86354" w:rsidR="0006032C">
        <w:rPr>
          <w:rFonts w:cs="Arial"/>
          <w:sz w:val="20"/>
          <w:szCs w:val="20"/>
          <w:lang w:val="fr-FR"/>
        </w:rPr>
        <w:t>’</w:t>
      </w:r>
      <w:r w:rsidRPr="00A86354">
        <w:rPr>
          <w:rFonts w:cs="Arial"/>
          <w:sz w:val="20"/>
          <w:szCs w:val="20"/>
          <w:lang w:val="fr-FR"/>
        </w:rPr>
        <w:t>enseignement externalisées au sein de l</w:t>
      </w:r>
      <w:r w:rsidRPr="00A86354" w:rsidR="0006032C">
        <w:rPr>
          <w:rFonts w:cs="Arial"/>
          <w:sz w:val="20"/>
          <w:szCs w:val="20"/>
          <w:lang w:val="fr-FR"/>
        </w:rPr>
        <w:t>’</w:t>
      </w:r>
      <w:r w:rsidRPr="00A86354">
        <w:rPr>
          <w:rFonts w:cs="Arial"/>
          <w:sz w:val="20"/>
          <w:szCs w:val="20"/>
          <w:lang w:val="fr-FR"/>
        </w:rPr>
        <w:t>école (UEE)</w:t>
      </w:r>
      <w:r w:rsidRPr="00A86354" w:rsidR="000807D5">
        <w:rPr>
          <w:rFonts w:cs="Arial"/>
          <w:sz w:val="20"/>
          <w:szCs w:val="20"/>
          <w:lang w:val="fr-FR"/>
        </w:rPr>
        <w:t> :</w:t>
      </w:r>
      <w:r w:rsidRPr="00A86354">
        <w:rPr>
          <w:rFonts w:cs="Arial"/>
          <w:sz w:val="20"/>
          <w:szCs w:val="20"/>
          <w:lang w:val="fr-FR"/>
        </w:rPr>
        <w:t xml:space="preserve"> 53 UEE ont déjà été créées en 2017-2018</w:t>
      </w:r>
      <w:r w:rsidRPr="00A86354" w:rsidR="000807D5">
        <w:rPr>
          <w:rFonts w:cs="Arial"/>
          <w:sz w:val="20"/>
          <w:szCs w:val="20"/>
          <w:lang w:val="fr-FR"/>
        </w:rPr>
        <w:t> ;</w:t>
      </w:r>
    </w:p>
    <w:p w:rsidRPr="00A86354" w:rsidR="002B0D84" w:rsidP="002B0D84" w:rsidRDefault="002B0D84" w14:paraId="3F5F2A24" w14:textId="77777777">
      <w:pPr>
        <w:ind w:left="426"/>
        <w:rPr>
          <w:rFonts w:ascii="Arial" w:hAnsi="Arial" w:cs="Arial"/>
          <w:sz w:val="20"/>
          <w:szCs w:val="20"/>
          <w:lang w:val="fr-FR"/>
        </w:rPr>
      </w:pPr>
    </w:p>
    <w:p w:rsidRPr="00A86354" w:rsidR="00F45E15" w:rsidP="00CE016A" w:rsidRDefault="00F45E15" w14:paraId="04054178" w14:textId="035DFE99">
      <w:pPr>
        <w:pStyle w:val="ListParagraph"/>
        <w:numPr>
          <w:ilvl w:val="0"/>
          <w:numId w:val="2"/>
        </w:numPr>
        <w:rPr>
          <w:rFonts w:cs="Arial"/>
          <w:sz w:val="20"/>
          <w:szCs w:val="20"/>
          <w:lang w:val="fr-FR"/>
        </w:rPr>
      </w:pPr>
      <w:r w:rsidRPr="00A86354">
        <w:rPr>
          <w:rFonts w:cs="Arial"/>
          <w:sz w:val="20"/>
          <w:szCs w:val="20"/>
          <w:lang w:val="fr-FR"/>
        </w:rPr>
        <w:t>la création de 180 Unités d</w:t>
      </w:r>
      <w:r w:rsidRPr="00A86354" w:rsidR="0006032C">
        <w:rPr>
          <w:rFonts w:cs="Arial"/>
          <w:sz w:val="20"/>
          <w:szCs w:val="20"/>
          <w:lang w:val="fr-FR"/>
        </w:rPr>
        <w:t>’</w:t>
      </w:r>
      <w:r w:rsidRPr="00A86354">
        <w:rPr>
          <w:rFonts w:cs="Arial"/>
          <w:sz w:val="20"/>
          <w:szCs w:val="20"/>
          <w:lang w:val="fr-FR"/>
        </w:rPr>
        <w:t>enseignement en maternelle autisme (UEMA) sur la durée de la stratégie autisme (2018-2022)</w:t>
      </w:r>
      <w:r w:rsidRPr="00A86354" w:rsidR="000807D5">
        <w:rPr>
          <w:rFonts w:cs="Arial"/>
          <w:sz w:val="20"/>
          <w:szCs w:val="20"/>
          <w:lang w:val="fr-FR"/>
        </w:rPr>
        <w:t> ;</w:t>
      </w:r>
      <w:r w:rsidRPr="00A86354">
        <w:rPr>
          <w:rFonts w:cs="Arial"/>
          <w:sz w:val="20"/>
          <w:szCs w:val="20"/>
          <w:lang w:val="fr-FR"/>
        </w:rPr>
        <w:t xml:space="preserve"> </w:t>
      </w:r>
    </w:p>
    <w:p w:rsidRPr="00A86354" w:rsidR="002B0D84" w:rsidP="002B0D84" w:rsidRDefault="002B0D84" w14:paraId="7EB8F4CF" w14:textId="77777777">
      <w:pPr>
        <w:ind w:left="426"/>
        <w:rPr>
          <w:rFonts w:ascii="Arial" w:hAnsi="Arial" w:cs="Arial"/>
          <w:sz w:val="20"/>
          <w:szCs w:val="20"/>
          <w:lang w:val="fr-FR"/>
        </w:rPr>
      </w:pPr>
    </w:p>
    <w:p w:rsidRPr="00A86354" w:rsidR="002B0D84" w:rsidP="00CE016A" w:rsidRDefault="00F45E15" w14:paraId="1894A057" w14:textId="47FCF4EB">
      <w:pPr>
        <w:pStyle w:val="ListParagraph"/>
        <w:numPr>
          <w:ilvl w:val="0"/>
          <w:numId w:val="2"/>
        </w:numPr>
        <w:rPr>
          <w:rFonts w:cs="Arial"/>
          <w:sz w:val="20"/>
          <w:szCs w:val="20"/>
          <w:lang w:val="fr-FR"/>
        </w:rPr>
      </w:pPr>
      <w:r w:rsidRPr="00A86354">
        <w:rPr>
          <w:rFonts w:cs="Arial"/>
          <w:sz w:val="20"/>
          <w:szCs w:val="20"/>
          <w:lang w:val="fr-FR"/>
        </w:rPr>
        <w:t>la création de 45 Unités d</w:t>
      </w:r>
      <w:r w:rsidRPr="00A86354" w:rsidR="0006032C">
        <w:rPr>
          <w:rFonts w:cs="Arial"/>
          <w:sz w:val="20"/>
          <w:szCs w:val="20"/>
          <w:lang w:val="fr-FR"/>
        </w:rPr>
        <w:t>’</w:t>
      </w:r>
      <w:r w:rsidRPr="00A86354">
        <w:rPr>
          <w:rFonts w:cs="Arial"/>
          <w:sz w:val="20"/>
          <w:szCs w:val="20"/>
          <w:lang w:val="fr-FR"/>
        </w:rPr>
        <w:t>enseignement élémentaire pour des élèves avec des troubles du spectre autistique (TSA) dans la continuité des UEMA (</w:t>
      </w:r>
      <w:r w:rsidRPr="00A86354" w:rsidR="00B815BC">
        <w:rPr>
          <w:rFonts w:cs="Arial"/>
          <w:sz w:val="20"/>
          <w:szCs w:val="20"/>
          <w:lang w:val="fr-FR"/>
        </w:rPr>
        <w:t>cinq</w:t>
      </w:r>
      <w:r w:rsidRPr="00A86354">
        <w:rPr>
          <w:rFonts w:cs="Arial"/>
          <w:sz w:val="20"/>
          <w:szCs w:val="20"/>
          <w:lang w:val="fr-FR"/>
        </w:rPr>
        <w:t xml:space="preserve"> premières expérimentations ont été engagées à la rentrée 2018). </w:t>
      </w:r>
    </w:p>
    <w:p w:rsidRPr="00A86354" w:rsidR="003C431F" w:rsidP="003C431F" w:rsidRDefault="003C431F" w14:paraId="03B0D3D2" w14:textId="77777777">
      <w:pPr>
        <w:pStyle w:val="ListParagraph"/>
        <w:rPr>
          <w:rFonts w:cs="Arial"/>
          <w:lang w:val="fr-FR"/>
        </w:rPr>
      </w:pPr>
    </w:p>
    <w:p w:rsidRPr="00A86354" w:rsidR="002B0D84" w:rsidP="00CE016A" w:rsidRDefault="00F45E15" w14:paraId="317F0C80" w14:textId="4E4CC432">
      <w:pPr>
        <w:pStyle w:val="ListParagraph"/>
        <w:numPr>
          <w:ilvl w:val="0"/>
          <w:numId w:val="1"/>
        </w:numPr>
        <w:ind w:left="0" w:firstLine="0"/>
        <w:rPr>
          <w:rFonts w:cs="Arial"/>
          <w:lang w:val="fr-FR"/>
        </w:rPr>
      </w:pPr>
      <w:r w:rsidRPr="00A86354">
        <w:rPr>
          <w:rFonts w:cs="Arial"/>
          <w:lang w:val="fr-FR"/>
        </w:rPr>
        <w:t xml:space="preserve">Le </w:t>
      </w:r>
      <w:r w:rsidRPr="00A86354" w:rsidR="00AE34AC">
        <w:rPr>
          <w:rFonts w:cs="Arial"/>
          <w:lang w:val="fr-FR"/>
        </w:rPr>
        <w:t>Gouvernement</w:t>
      </w:r>
      <w:r w:rsidRPr="00A86354">
        <w:rPr>
          <w:rFonts w:cs="Arial"/>
          <w:lang w:val="fr-FR"/>
        </w:rPr>
        <w:t xml:space="preserve"> précise que, durant l</w:t>
      </w:r>
      <w:r w:rsidRPr="00A86354" w:rsidR="0006032C">
        <w:rPr>
          <w:rFonts w:cs="Arial"/>
          <w:lang w:val="fr-FR"/>
        </w:rPr>
        <w:t>’</w:t>
      </w:r>
      <w:r w:rsidRPr="00A86354">
        <w:rPr>
          <w:rFonts w:cs="Arial"/>
          <w:lang w:val="fr-FR"/>
        </w:rPr>
        <w:t>année scolaire 2017-2018, les effectifs d</w:t>
      </w:r>
      <w:r w:rsidRPr="00A86354" w:rsidR="0006032C">
        <w:rPr>
          <w:rFonts w:cs="Arial"/>
          <w:lang w:val="fr-FR"/>
        </w:rPr>
        <w:t>’</w:t>
      </w:r>
      <w:r w:rsidRPr="00A86354">
        <w:rPr>
          <w:rFonts w:cs="Arial"/>
          <w:lang w:val="fr-FR"/>
        </w:rPr>
        <w:t>élèves en situation de handicap scolarisés dans les écoles et les établissements publics et privés ont augmenté de 6,9 % par rapport à la rentrée 2016 (environ 320 000 élèves scolarisés pour</w:t>
      </w:r>
      <w:r w:rsidRPr="00A86354">
        <w:rPr>
          <w:rFonts w:ascii="Times New Roman" w:hAnsi="Times New Roman" w:cs="Arial"/>
          <w:lang w:val="fr-FR"/>
        </w:rPr>
        <w:t xml:space="preserve"> </w:t>
      </w:r>
      <w:r w:rsidRPr="00A86354">
        <w:rPr>
          <w:rFonts w:cs="Arial"/>
          <w:lang w:val="fr-FR"/>
        </w:rPr>
        <w:t>l</w:t>
      </w:r>
      <w:r w:rsidRPr="00A86354" w:rsidR="0006032C">
        <w:rPr>
          <w:rFonts w:cs="Arial"/>
          <w:lang w:val="fr-FR"/>
        </w:rPr>
        <w:t>’</w:t>
      </w:r>
      <w:r w:rsidRPr="00A86354">
        <w:rPr>
          <w:rFonts w:cs="Arial"/>
          <w:lang w:val="fr-FR"/>
        </w:rPr>
        <w:t>année scolaire 2017-2018). Parmi ces élèves scolarisés en milieu ordinaire, 92</w:t>
      </w:r>
      <w:r w:rsidRPr="00A86354" w:rsidR="003C431F">
        <w:rPr>
          <w:rFonts w:cs="Arial"/>
          <w:lang w:val="fr-FR"/>
        </w:rPr>
        <w:t> </w:t>
      </w:r>
      <w:r w:rsidRPr="00A86354">
        <w:rPr>
          <w:rFonts w:cs="Arial"/>
          <w:lang w:val="fr-FR"/>
        </w:rPr>
        <w:t>525 ont bénéficié d</w:t>
      </w:r>
      <w:r w:rsidRPr="00A86354" w:rsidR="0006032C">
        <w:rPr>
          <w:rFonts w:cs="Arial"/>
          <w:lang w:val="fr-FR"/>
        </w:rPr>
        <w:t>’</w:t>
      </w:r>
      <w:r w:rsidRPr="00A86354">
        <w:rPr>
          <w:rFonts w:cs="Arial"/>
          <w:lang w:val="fr-FR"/>
        </w:rPr>
        <w:t>un dispositif ULIS et environ 150 000 sont accompagnés par un personnel chargé de l</w:t>
      </w:r>
      <w:r w:rsidRPr="00A86354" w:rsidR="0006032C">
        <w:rPr>
          <w:rFonts w:cs="Arial"/>
          <w:lang w:val="fr-FR"/>
        </w:rPr>
        <w:t>’</w:t>
      </w:r>
      <w:r w:rsidRPr="00A86354">
        <w:rPr>
          <w:rFonts w:cs="Arial"/>
          <w:lang w:val="fr-FR"/>
        </w:rPr>
        <w:t>aide humaine. En outre, 47 500 élèves sont accompagnés par un SESSAD, soit une progression de l</w:t>
      </w:r>
      <w:r w:rsidRPr="00A86354" w:rsidR="0006032C">
        <w:rPr>
          <w:rFonts w:cs="Arial"/>
          <w:lang w:val="fr-FR"/>
        </w:rPr>
        <w:t>’</w:t>
      </w:r>
      <w:r w:rsidRPr="00A86354">
        <w:rPr>
          <w:rFonts w:cs="Arial"/>
          <w:lang w:val="fr-FR"/>
        </w:rPr>
        <w:t>offre de 6 000 enfants depuis 2014.</w:t>
      </w:r>
    </w:p>
    <w:p w:rsidRPr="00A86354" w:rsidR="002B0D84" w:rsidP="002B0D84" w:rsidRDefault="002B0D84" w14:paraId="538EF185" w14:textId="77777777">
      <w:pPr>
        <w:pStyle w:val="ListParagraph"/>
        <w:rPr>
          <w:rFonts w:cs="Arial"/>
          <w:lang w:val="fr-FR"/>
        </w:rPr>
      </w:pPr>
    </w:p>
    <w:p w:rsidRPr="00A86354" w:rsidR="002B0D84" w:rsidP="00CE016A" w:rsidRDefault="00F45E15" w14:paraId="504E3428" w14:textId="29F25149">
      <w:pPr>
        <w:pStyle w:val="ListParagraph"/>
        <w:numPr>
          <w:ilvl w:val="0"/>
          <w:numId w:val="1"/>
        </w:numPr>
        <w:ind w:left="0" w:firstLine="0"/>
        <w:rPr>
          <w:rFonts w:cs="Arial"/>
          <w:lang w:val="fr-FR"/>
        </w:rPr>
      </w:pPr>
      <w:r w:rsidRPr="00A86354">
        <w:rPr>
          <w:rFonts w:cs="Arial"/>
          <w:lang w:val="fr-FR"/>
        </w:rPr>
        <w:t xml:space="preserve">Le </w:t>
      </w:r>
      <w:r w:rsidRPr="00A86354" w:rsidR="00AE34AC">
        <w:rPr>
          <w:rFonts w:cs="Arial"/>
          <w:lang w:val="fr-FR"/>
        </w:rPr>
        <w:t>Gouvernement</w:t>
      </w:r>
      <w:r w:rsidRPr="00A86354">
        <w:rPr>
          <w:rFonts w:cs="Arial"/>
          <w:lang w:val="fr-FR"/>
        </w:rPr>
        <w:t xml:space="preserve"> cite également une amélioration du recrutement et de l</w:t>
      </w:r>
      <w:r w:rsidRPr="00A86354" w:rsidR="0006032C">
        <w:rPr>
          <w:rFonts w:cs="Arial"/>
          <w:lang w:val="fr-FR"/>
        </w:rPr>
        <w:t>’</w:t>
      </w:r>
      <w:r w:rsidRPr="00A86354">
        <w:rPr>
          <w:rFonts w:cs="Arial"/>
          <w:lang w:val="fr-FR"/>
        </w:rPr>
        <w:t>organisation du dispositif d</w:t>
      </w:r>
      <w:r w:rsidRPr="00A86354" w:rsidR="0006032C">
        <w:rPr>
          <w:rFonts w:cs="Arial"/>
          <w:lang w:val="fr-FR"/>
        </w:rPr>
        <w:t>’</w:t>
      </w:r>
      <w:r w:rsidRPr="00A86354">
        <w:rPr>
          <w:rFonts w:cs="Arial"/>
          <w:lang w:val="fr-FR"/>
        </w:rPr>
        <w:t>accompagnement humain des élèves en situation de handicap avec 8 026 postes d</w:t>
      </w:r>
      <w:r w:rsidRPr="00A86354" w:rsidR="0006032C">
        <w:rPr>
          <w:rFonts w:cs="Arial"/>
          <w:lang w:val="fr-FR"/>
        </w:rPr>
        <w:t>’</w:t>
      </w:r>
      <w:r w:rsidRPr="00A86354">
        <w:rPr>
          <w:rFonts w:cs="Arial"/>
          <w:lang w:val="fr-FR"/>
        </w:rPr>
        <w:t>accompagnants créés à la rentrée 2017 et 10 900 postes d</w:t>
      </w:r>
      <w:r w:rsidRPr="00A86354" w:rsidR="0006032C">
        <w:rPr>
          <w:rFonts w:cs="Arial"/>
          <w:lang w:val="fr-FR"/>
        </w:rPr>
        <w:t>’</w:t>
      </w:r>
      <w:r w:rsidRPr="00A86354">
        <w:rPr>
          <w:rFonts w:cs="Arial"/>
          <w:lang w:val="fr-FR"/>
        </w:rPr>
        <w:t>accompagnants d</w:t>
      </w:r>
      <w:r w:rsidRPr="00A86354" w:rsidR="0006032C">
        <w:rPr>
          <w:rFonts w:cs="Arial"/>
          <w:lang w:val="fr-FR"/>
        </w:rPr>
        <w:t>’</w:t>
      </w:r>
      <w:r w:rsidRPr="00A86354">
        <w:rPr>
          <w:rFonts w:cs="Arial"/>
          <w:lang w:val="fr-FR"/>
        </w:rPr>
        <w:t>élèves en situation de handicap à la rentrée 2018, ainsi que l</w:t>
      </w:r>
      <w:r w:rsidRPr="00A86354" w:rsidR="0006032C">
        <w:rPr>
          <w:rFonts w:cs="Arial"/>
          <w:lang w:val="fr-FR"/>
        </w:rPr>
        <w:t>’</w:t>
      </w:r>
      <w:r w:rsidRPr="00A86354">
        <w:rPr>
          <w:rFonts w:cs="Arial"/>
          <w:lang w:val="fr-FR"/>
        </w:rPr>
        <w:t xml:space="preserve">expérimentation de </w:t>
      </w:r>
      <w:r w:rsidRPr="00A86354" w:rsidR="000807D5">
        <w:rPr>
          <w:rFonts w:cs="Arial"/>
          <w:lang w:val="fr-FR"/>
        </w:rPr>
        <w:t>« </w:t>
      </w:r>
      <w:r w:rsidRPr="00A86354">
        <w:rPr>
          <w:rFonts w:cs="Arial"/>
          <w:lang w:val="fr-FR"/>
        </w:rPr>
        <w:t>pôles inclusifs d</w:t>
      </w:r>
      <w:r w:rsidRPr="00A86354" w:rsidR="0006032C">
        <w:rPr>
          <w:rFonts w:cs="Arial"/>
          <w:lang w:val="fr-FR"/>
        </w:rPr>
        <w:t>’</w:t>
      </w:r>
      <w:r w:rsidRPr="00A86354">
        <w:rPr>
          <w:rFonts w:cs="Arial"/>
          <w:lang w:val="fr-FR"/>
        </w:rPr>
        <w:t>accompagnement localisés</w:t>
      </w:r>
      <w:r w:rsidRPr="00A86354" w:rsidR="000807D5">
        <w:rPr>
          <w:rFonts w:cs="Arial"/>
          <w:lang w:val="fr-FR"/>
        </w:rPr>
        <w:t> »</w:t>
      </w:r>
      <w:r w:rsidRPr="00A86354">
        <w:rPr>
          <w:rFonts w:cs="Arial"/>
          <w:lang w:val="fr-FR"/>
        </w:rPr>
        <w:t xml:space="preserve"> permettant de positionner les accompagnants au sein de l</w:t>
      </w:r>
      <w:r w:rsidRPr="00A86354" w:rsidR="0006032C">
        <w:rPr>
          <w:rFonts w:cs="Arial"/>
          <w:lang w:val="fr-FR"/>
        </w:rPr>
        <w:t>’</w:t>
      </w:r>
      <w:r w:rsidRPr="00A86354">
        <w:rPr>
          <w:rFonts w:cs="Arial"/>
          <w:lang w:val="fr-FR"/>
        </w:rPr>
        <w:t>équipe pédagogique</w:t>
      </w:r>
      <w:r w:rsidRPr="00A86354" w:rsidR="002B0D84">
        <w:rPr>
          <w:rFonts w:cs="Arial"/>
          <w:lang w:val="fr-FR"/>
        </w:rPr>
        <w:t xml:space="preserve">. </w:t>
      </w:r>
    </w:p>
    <w:p w:rsidRPr="00A86354" w:rsidR="008F0D0E" w:rsidP="008F0D0E" w:rsidRDefault="008F0D0E" w14:paraId="13DBFEF2" w14:textId="77777777">
      <w:pPr>
        <w:ind w:left="360" w:hanging="360"/>
        <w:rPr>
          <w:rFonts w:ascii="Arial" w:hAnsi="Arial" w:cs="Arial"/>
          <w:lang w:val="fr-FR"/>
        </w:rPr>
      </w:pPr>
    </w:p>
    <w:p w:rsidRPr="00A86354" w:rsidR="00E02FD0" w:rsidP="00CE016A" w:rsidRDefault="00F45E15" w14:paraId="0C531CDC" w14:textId="720F906C">
      <w:pPr>
        <w:pStyle w:val="ListParagraph"/>
        <w:numPr>
          <w:ilvl w:val="0"/>
          <w:numId w:val="1"/>
        </w:numPr>
        <w:ind w:left="0" w:firstLine="0"/>
        <w:rPr>
          <w:rFonts w:cs="Arial"/>
          <w:lang w:val="fr-FR"/>
        </w:rPr>
      </w:pPr>
      <w:r w:rsidRPr="00A86354">
        <w:rPr>
          <w:rFonts w:cs="Arial"/>
          <w:lang w:val="fr-FR"/>
        </w:rPr>
        <w:t xml:space="preserve">Selon le </w:t>
      </w:r>
      <w:r w:rsidRPr="00A86354" w:rsidR="00AE34AC">
        <w:rPr>
          <w:rFonts w:cs="Arial"/>
          <w:lang w:val="fr-FR"/>
        </w:rPr>
        <w:t>Gouvernement</w:t>
      </w:r>
      <w:r w:rsidRPr="00A86354" w:rsidR="00E3734F">
        <w:rPr>
          <w:rFonts w:cs="Arial"/>
          <w:lang w:val="fr-FR"/>
        </w:rPr>
        <w:t xml:space="preserve">, </w:t>
      </w:r>
      <w:r w:rsidRPr="00A86354">
        <w:rPr>
          <w:rFonts w:cs="Arial"/>
          <w:lang w:val="fr-FR"/>
        </w:rPr>
        <w:t>ces mesures s</w:t>
      </w:r>
      <w:r w:rsidRPr="00A86354" w:rsidR="0006032C">
        <w:rPr>
          <w:rFonts w:cs="Arial"/>
          <w:lang w:val="fr-FR"/>
        </w:rPr>
        <w:t>’</w:t>
      </w:r>
      <w:r w:rsidRPr="00A86354">
        <w:rPr>
          <w:rFonts w:cs="Arial"/>
          <w:lang w:val="fr-FR"/>
        </w:rPr>
        <w:t>accompagnent d</w:t>
      </w:r>
      <w:r w:rsidRPr="00A86354" w:rsidR="0006032C">
        <w:rPr>
          <w:rFonts w:cs="Arial"/>
          <w:lang w:val="fr-FR"/>
        </w:rPr>
        <w:t>’</w:t>
      </w:r>
      <w:r w:rsidRPr="00A86354">
        <w:rPr>
          <w:rFonts w:cs="Arial"/>
          <w:lang w:val="fr-FR"/>
        </w:rPr>
        <w:t>un accroissement significatif de l</w:t>
      </w:r>
      <w:r w:rsidRPr="00A86354" w:rsidR="0006032C">
        <w:rPr>
          <w:rFonts w:cs="Arial"/>
          <w:lang w:val="fr-FR"/>
        </w:rPr>
        <w:t>’</w:t>
      </w:r>
      <w:r w:rsidRPr="00A86354">
        <w:rPr>
          <w:rFonts w:cs="Arial"/>
          <w:lang w:val="fr-FR"/>
        </w:rPr>
        <w:t>appui des services médico-sociaux aux établissements scolaires et de la transformation progressive des établissements médico-sociaux en plateformes de services et de ressources d</w:t>
      </w:r>
      <w:r w:rsidRPr="00A86354" w:rsidR="0006032C">
        <w:rPr>
          <w:rFonts w:cs="Arial"/>
          <w:lang w:val="fr-FR"/>
        </w:rPr>
        <w:t>’</w:t>
      </w:r>
      <w:r w:rsidRPr="00A86354">
        <w:rPr>
          <w:rFonts w:cs="Arial"/>
          <w:lang w:val="fr-FR"/>
        </w:rPr>
        <w:t>accompagnement des élèves en situation de handicap. Dans ce cadre,</w:t>
      </w:r>
      <w:r w:rsidRPr="00A86354" w:rsidR="002B0D84">
        <w:rPr>
          <w:rFonts w:cs="Arial"/>
          <w:lang w:val="fr-FR"/>
        </w:rPr>
        <w:t xml:space="preserve"> </w:t>
      </w:r>
      <w:r w:rsidRPr="00A86354">
        <w:rPr>
          <w:rFonts w:cs="Arial"/>
          <w:lang w:val="fr-FR"/>
        </w:rPr>
        <w:t>la stratégie nationale pour l</w:t>
      </w:r>
      <w:r w:rsidRPr="00A86354" w:rsidR="0006032C">
        <w:rPr>
          <w:rFonts w:cs="Arial"/>
          <w:lang w:val="fr-FR"/>
        </w:rPr>
        <w:t>’</w:t>
      </w:r>
      <w:r w:rsidRPr="00A86354">
        <w:rPr>
          <w:rFonts w:cs="Arial"/>
          <w:lang w:val="fr-FR"/>
        </w:rPr>
        <w:t xml:space="preserve">autisme au sein des troubles du </w:t>
      </w:r>
      <w:r w:rsidRPr="00A86354" w:rsidR="00F84D04">
        <w:rPr>
          <w:rFonts w:cs="Arial"/>
          <w:lang w:val="fr-FR"/>
        </w:rPr>
        <w:t>neurodéveloppement</w:t>
      </w:r>
      <w:r w:rsidRPr="00A86354">
        <w:rPr>
          <w:rFonts w:cs="Arial"/>
          <w:lang w:val="fr-FR"/>
        </w:rPr>
        <w:t xml:space="preserve"> retient un plan d</w:t>
      </w:r>
      <w:r w:rsidRPr="00A86354" w:rsidR="0006032C">
        <w:rPr>
          <w:rFonts w:cs="Arial"/>
          <w:lang w:val="fr-FR"/>
        </w:rPr>
        <w:t>’</w:t>
      </w:r>
      <w:r w:rsidRPr="00A86354">
        <w:rPr>
          <w:rFonts w:cs="Arial"/>
          <w:lang w:val="fr-FR"/>
        </w:rPr>
        <w:t>action visant à favoriser l</w:t>
      </w:r>
      <w:r w:rsidRPr="00A86354" w:rsidR="0006032C">
        <w:rPr>
          <w:rFonts w:cs="Arial"/>
          <w:lang w:val="fr-FR"/>
        </w:rPr>
        <w:t>’</w:t>
      </w:r>
      <w:r w:rsidRPr="00A86354">
        <w:rPr>
          <w:rFonts w:cs="Arial"/>
          <w:lang w:val="fr-FR"/>
        </w:rPr>
        <w:t>inclusion scolaire des enfants en milieu ordinaire, de la maternelle au lycée jusqu</w:t>
      </w:r>
      <w:r w:rsidRPr="00A86354" w:rsidR="0006032C">
        <w:rPr>
          <w:rFonts w:cs="Arial"/>
          <w:lang w:val="fr-FR"/>
        </w:rPr>
        <w:t>’</w:t>
      </w:r>
      <w:r w:rsidRPr="00A86354">
        <w:rPr>
          <w:rFonts w:cs="Arial"/>
          <w:lang w:val="fr-FR"/>
        </w:rPr>
        <w:t>à l</w:t>
      </w:r>
      <w:r w:rsidRPr="00A86354" w:rsidR="0006032C">
        <w:rPr>
          <w:rFonts w:cs="Arial"/>
          <w:lang w:val="fr-FR"/>
        </w:rPr>
        <w:t>’</w:t>
      </w:r>
      <w:r w:rsidRPr="00A86354">
        <w:rPr>
          <w:rFonts w:cs="Arial"/>
          <w:lang w:val="fr-FR"/>
        </w:rPr>
        <w:t>enseignement supérieur.</w:t>
      </w:r>
      <w:r w:rsidRPr="00A86354" w:rsidR="00F84D04">
        <w:rPr>
          <w:rFonts w:cs="Arial"/>
          <w:lang w:val="fr-FR"/>
        </w:rPr>
        <w:t xml:space="preserve"> Pour l</w:t>
      </w:r>
      <w:r w:rsidRPr="00A86354" w:rsidR="0006032C">
        <w:rPr>
          <w:rFonts w:cs="Arial"/>
          <w:lang w:val="fr-FR"/>
        </w:rPr>
        <w:t>’</w:t>
      </w:r>
      <w:r w:rsidRPr="00A86354" w:rsidR="00F84D04">
        <w:rPr>
          <w:rFonts w:cs="Arial"/>
          <w:lang w:val="fr-FR"/>
        </w:rPr>
        <w:t>année scolaire 2017/2018, 26</w:t>
      </w:r>
      <w:r w:rsidRPr="00A86354" w:rsidR="003C431F">
        <w:rPr>
          <w:rFonts w:cs="Arial"/>
          <w:lang w:val="fr-FR"/>
        </w:rPr>
        <w:t> </w:t>
      </w:r>
      <w:r w:rsidRPr="00A86354" w:rsidR="00F84D04">
        <w:rPr>
          <w:rFonts w:cs="Arial"/>
          <w:lang w:val="fr-FR"/>
        </w:rPr>
        <w:t>096 élèves atteints de troubles du spectre autistique sont scolarisés en milieu ordinaire, soit une augmentation de 62</w:t>
      </w:r>
      <w:r w:rsidRPr="00A86354" w:rsidR="00811053">
        <w:rPr>
          <w:rFonts w:cs="Arial"/>
          <w:lang w:val="fr-FR"/>
        </w:rPr>
        <w:t> </w:t>
      </w:r>
      <w:r w:rsidRPr="00A86354" w:rsidR="00F84D04">
        <w:rPr>
          <w:rFonts w:cs="Arial"/>
          <w:lang w:val="fr-FR"/>
        </w:rPr>
        <w:t>% depuis 2012.</w:t>
      </w:r>
      <w:r w:rsidRPr="00A86354" w:rsidR="00E02FD0">
        <w:rPr>
          <w:rFonts w:cs="Arial" w:eastAsiaTheme="minorHAnsi"/>
          <w:color w:val="000000"/>
          <w:lang w:val="fr-FR" w:eastAsia="en-US"/>
        </w:rPr>
        <w:t xml:space="preserve"> </w:t>
      </w:r>
      <w:r w:rsidRPr="00A86354" w:rsidR="00F84D04">
        <w:rPr>
          <w:rFonts w:cs="Arial" w:eastAsiaTheme="minorHAnsi"/>
          <w:color w:val="000000"/>
          <w:lang w:val="fr-FR" w:eastAsia="en-US"/>
        </w:rPr>
        <w:t>Le</w:t>
      </w:r>
      <w:r w:rsidRPr="00A86354" w:rsidR="00E02FD0">
        <w:rPr>
          <w:rFonts w:cs="Arial" w:eastAsiaTheme="minorHAnsi"/>
          <w:color w:val="000000"/>
          <w:lang w:val="fr-FR" w:eastAsia="en-US"/>
        </w:rPr>
        <w:t xml:space="preserve"> </w:t>
      </w:r>
      <w:r w:rsidRPr="00A86354" w:rsidR="00AE34AC">
        <w:rPr>
          <w:rFonts w:cs="Arial" w:eastAsiaTheme="minorHAnsi"/>
          <w:color w:val="000000"/>
          <w:lang w:val="fr-FR" w:eastAsia="en-US"/>
        </w:rPr>
        <w:t>Gouvernement</w:t>
      </w:r>
      <w:r w:rsidRPr="00A86354" w:rsidR="00F84D04">
        <w:rPr>
          <w:rFonts w:cs="Arial" w:eastAsiaTheme="minorHAnsi"/>
          <w:color w:val="000000"/>
          <w:lang w:val="fr-FR" w:eastAsia="en-US"/>
        </w:rPr>
        <w:t xml:space="preserve"> ajoute que la scolarisation des enfants autistes s</w:t>
      </w:r>
      <w:r w:rsidRPr="00A86354" w:rsidR="0006032C">
        <w:rPr>
          <w:rFonts w:cs="Arial" w:eastAsiaTheme="minorHAnsi"/>
          <w:color w:val="000000"/>
          <w:lang w:val="fr-FR" w:eastAsia="en-US"/>
        </w:rPr>
        <w:t>’</w:t>
      </w:r>
      <w:r w:rsidRPr="00A86354" w:rsidR="00F84D04">
        <w:rPr>
          <w:rFonts w:cs="Arial" w:eastAsiaTheme="minorHAnsi"/>
          <w:color w:val="000000"/>
          <w:lang w:val="fr-FR" w:eastAsia="en-US"/>
        </w:rPr>
        <w:t>est am</w:t>
      </w:r>
      <w:r w:rsidRPr="00A86354" w:rsidR="00811053">
        <w:rPr>
          <w:rFonts w:cs="Arial" w:eastAsiaTheme="minorHAnsi"/>
          <w:color w:val="000000"/>
          <w:lang w:val="fr-FR" w:eastAsia="en-US"/>
        </w:rPr>
        <w:t>éliorée en 2020, avec près de 1 </w:t>
      </w:r>
      <w:r w:rsidRPr="00A86354" w:rsidR="00F84D04">
        <w:rPr>
          <w:rFonts w:cs="Arial" w:eastAsiaTheme="minorHAnsi"/>
          <w:color w:val="000000"/>
          <w:lang w:val="fr-FR" w:eastAsia="en-US"/>
        </w:rPr>
        <w:t>800 enfants qui sont désormais scolarisés, soit 45 % de plus qu</w:t>
      </w:r>
      <w:r w:rsidRPr="00A86354" w:rsidR="0006032C">
        <w:rPr>
          <w:rFonts w:cs="Arial" w:eastAsiaTheme="minorHAnsi"/>
          <w:color w:val="000000"/>
          <w:lang w:val="fr-FR" w:eastAsia="en-US"/>
        </w:rPr>
        <w:t>’</w:t>
      </w:r>
      <w:r w:rsidRPr="00A86354" w:rsidR="00F84D04">
        <w:rPr>
          <w:rFonts w:cs="Arial" w:eastAsiaTheme="minorHAnsi"/>
          <w:color w:val="000000"/>
          <w:lang w:val="fr-FR" w:eastAsia="en-US"/>
        </w:rPr>
        <w:t>à la rentrée 2019</w:t>
      </w:r>
      <w:r w:rsidRPr="00A86354" w:rsidR="00E02FD0">
        <w:rPr>
          <w:rFonts w:cs="Arial" w:eastAsiaTheme="minorHAnsi"/>
          <w:color w:val="000000"/>
          <w:lang w:val="fr-FR" w:eastAsia="en-US"/>
        </w:rPr>
        <w:t xml:space="preserve">. </w:t>
      </w:r>
    </w:p>
    <w:p w:rsidRPr="00A86354" w:rsidR="008F0D0E" w:rsidP="008F0D0E" w:rsidRDefault="008F0D0E" w14:paraId="2F0CE0B8" w14:textId="77777777">
      <w:pPr>
        <w:ind w:left="360" w:hanging="360"/>
        <w:rPr>
          <w:rFonts w:ascii="Arial" w:hAnsi="Arial" w:cs="Arial"/>
          <w:lang w:val="fr-FR"/>
        </w:rPr>
      </w:pPr>
    </w:p>
    <w:p w:rsidRPr="00A86354" w:rsidR="00ED1660" w:rsidP="00CE016A" w:rsidRDefault="00F84D04" w14:paraId="3AC4287B" w14:textId="69481B74">
      <w:pPr>
        <w:pStyle w:val="ListParagraph"/>
        <w:numPr>
          <w:ilvl w:val="0"/>
          <w:numId w:val="1"/>
        </w:numPr>
        <w:ind w:left="0" w:firstLine="0"/>
        <w:rPr>
          <w:rFonts w:cs="Arial"/>
          <w:lang w:val="fr-FR"/>
        </w:rPr>
      </w:pPr>
      <w:r w:rsidRPr="00A86354">
        <w:rPr>
          <w:rFonts w:cs="Arial"/>
          <w:lang w:val="fr-FR"/>
        </w:rPr>
        <w:lastRenderedPageBreak/>
        <w:t>D</w:t>
      </w:r>
      <w:r w:rsidRPr="00A86354" w:rsidR="0006032C">
        <w:rPr>
          <w:rFonts w:cs="Arial"/>
          <w:lang w:val="fr-FR"/>
        </w:rPr>
        <w:t>’</w:t>
      </w:r>
      <w:r w:rsidRPr="00A86354">
        <w:rPr>
          <w:rFonts w:cs="Arial"/>
          <w:lang w:val="fr-FR"/>
        </w:rPr>
        <w:t xml:space="preserve">après le </w:t>
      </w:r>
      <w:r w:rsidRPr="00A86354" w:rsidR="00AE34AC">
        <w:rPr>
          <w:rFonts w:cs="Arial"/>
          <w:lang w:val="fr-FR"/>
        </w:rPr>
        <w:t>Gouvernement</w:t>
      </w:r>
      <w:r w:rsidRPr="00A86354" w:rsidR="00ED1660">
        <w:rPr>
          <w:rFonts w:cs="Arial"/>
          <w:lang w:val="fr-FR"/>
        </w:rPr>
        <w:t>,</w:t>
      </w:r>
      <w:r w:rsidRPr="00A86354" w:rsidR="007C0D24">
        <w:rPr>
          <w:lang w:val="fr-FR"/>
        </w:rPr>
        <w:t xml:space="preserve"> a</w:t>
      </w:r>
      <w:r w:rsidRPr="00A86354" w:rsidR="007C0D24">
        <w:rPr>
          <w:rFonts w:cs="Arial"/>
          <w:lang w:val="fr-FR"/>
        </w:rPr>
        <w:t>fin de développer l</w:t>
      </w:r>
      <w:r w:rsidRPr="00A86354" w:rsidR="0006032C">
        <w:rPr>
          <w:rFonts w:cs="Arial"/>
          <w:lang w:val="fr-FR"/>
        </w:rPr>
        <w:t>’</w:t>
      </w:r>
      <w:r w:rsidRPr="00A86354" w:rsidR="007C0D24">
        <w:rPr>
          <w:rFonts w:cs="Arial"/>
          <w:lang w:val="fr-FR"/>
        </w:rPr>
        <w:t>accueil des tout-petits en situation de handicap dans les dispositifs de la petite enfance de droit commun, une aide financière complémentaire d</w:t>
      </w:r>
      <w:r w:rsidRPr="00A86354" w:rsidR="0006032C">
        <w:rPr>
          <w:rFonts w:cs="Arial"/>
          <w:lang w:val="fr-FR"/>
        </w:rPr>
        <w:t>’</w:t>
      </w:r>
      <w:r w:rsidRPr="00A86354" w:rsidR="007C0D24">
        <w:rPr>
          <w:rFonts w:cs="Arial"/>
          <w:lang w:val="fr-FR"/>
        </w:rPr>
        <w:t xml:space="preserve">un montant maximum de 1 300 </w:t>
      </w:r>
      <w:r w:rsidRPr="00A86354" w:rsidR="00E245AA">
        <w:rPr>
          <w:rFonts w:cs="Arial"/>
          <w:lang w:val="fr-FR"/>
        </w:rPr>
        <w:t>EUR</w:t>
      </w:r>
      <w:r w:rsidRPr="00A86354" w:rsidR="007C0D24">
        <w:rPr>
          <w:rFonts w:cs="Arial"/>
          <w:lang w:val="fr-FR"/>
        </w:rPr>
        <w:t xml:space="preserve"> par place a été mise en place à destination de l</w:t>
      </w:r>
      <w:r w:rsidRPr="00A86354" w:rsidR="0006032C">
        <w:rPr>
          <w:rFonts w:cs="Arial"/>
          <w:lang w:val="fr-FR"/>
        </w:rPr>
        <w:t>’</w:t>
      </w:r>
      <w:r w:rsidRPr="00A86354" w:rsidR="007C0D24">
        <w:rPr>
          <w:rFonts w:cs="Arial"/>
          <w:lang w:val="fr-FR"/>
        </w:rPr>
        <w:t>ensemble des établissements d</w:t>
      </w:r>
      <w:r w:rsidRPr="00A86354" w:rsidR="0006032C">
        <w:rPr>
          <w:rFonts w:cs="Arial"/>
          <w:lang w:val="fr-FR"/>
        </w:rPr>
        <w:t>’</w:t>
      </w:r>
      <w:r w:rsidRPr="00A86354" w:rsidR="007C0D24">
        <w:rPr>
          <w:rFonts w:cs="Arial"/>
          <w:lang w:val="fr-FR"/>
        </w:rPr>
        <w:t>accueil du jeune enfant</w:t>
      </w:r>
      <w:r w:rsidRPr="00A86354" w:rsidR="005151C5">
        <w:rPr>
          <w:rFonts w:cs="Arial"/>
          <w:lang w:val="fr-FR"/>
        </w:rPr>
        <w:t>.</w:t>
      </w:r>
      <w:r w:rsidRPr="00A86354" w:rsidR="007C0D24">
        <w:rPr>
          <w:lang w:val="fr-FR"/>
        </w:rPr>
        <w:t xml:space="preserve"> </w:t>
      </w:r>
      <w:r w:rsidRPr="00A86354" w:rsidR="007C0D24">
        <w:rPr>
          <w:rFonts w:cs="Arial"/>
          <w:lang w:val="fr-FR"/>
        </w:rPr>
        <w:t xml:space="preserve">Pour les enfants plus âgés, des solutions ont été créées afin de garantir la réussite des élèves en situation de handicap et leur intégration au sein de </w:t>
      </w:r>
      <w:r w:rsidRPr="00A86354" w:rsidR="00811053">
        <w:rPr>
          <w:rFonts w:cs="Arial"/>
          <w:lang w:val="fr-FR"/>
        </w:rPr>
        <w:t>l</w:t>
      </w:r>
      <w:r w:rsidRPr="00A86354" w:rsidR="0006032C">
        <w:rPr>
          <w:rFonts w:cs="Arial"/>
          <w:lang w:val="fr-FR"/>
        </w:rPr>
        <w:t>’</w:t>
      </w:r>
      <w:r w:rsidRPr="00A86354" w:rsidR="00811053">
        <w:rPr>
          <w:rFonts w:cs="Arial"/>
          <w:lang w:val="fr-FR"/>
        </w:rPr>
        <w:t>école. Cette stratégie de l</w:t>
      </w:r>
      <w:r w:rsidRPr="00A86354" w:rsidR="0006032C">
        <w:rPr>
          <w:rFonts w:cs="Arial"/>
          <w:lang w:val="fr-FR"/>
        </w:rPr>
        <w:t>’</w:t>
      </w:r>
      <w:r w:rsidRPr="00A86354" w:rsidR="004857E6">
        <w:rPr>
          <w:rFonts w:cs="Arial"/>
          <w:lang w:val="fr-FR"/>
        </w:rPr>
        <w:t>« </w:t>
      </w:r>
      <w:r w:rsidRPr="00A86354" w:rsidR="007C0D24">
        <w:rPr>
          <w:rFonts w:cs="Arial"/>
          <w:lang w:val="fr-FR"/>
        </w:rPr>
        <w:t>école inclusive</w:t>
      </w:r>
      <w:r w:rsidRPr="00A86354" w:rsidR="000807D5">
        <w:rPr>
          <w:rFonts w:cs="Arial"/>
          <w:lang w:val="fr-FR"/>
        </w:rPr>
        <w:t> »</w:t>
      </w:r>
      <w:r w:rsidRPr="00A86354" w:rsidR="007C0D24">
        <w:rPr>
          <w:rFonts w:cs="Arial"/>
          <w:lang w:val="fr-FR"/>
        </w:rPr>
        <w:t xml:space="preserve"> a déjà</w:t>
      </w:r>
      <w:r w:rsidRPr="00A86354" w:rsidR="00811053">
        <w:rPr>
          <w:rFonts w:cs="Arial"/>
          <w:lang w:val="fr-FR"/>
        </w:rPr>
        <w:t xml:space="preserve"> porté ses fruits, avec 60 </w:t>
      </w:r>
      <w:r w:rsidRPr="00A86354" w:rsidR="007C0D24">
        <w:rPr>
          <w:rFonts w:cs="Arial"/>
          <w:lang w:val="fr-FR"/>
        </w:rPr>
        <w:t>000 élèves en situation de handicap scolarisés par l</w:t>
      </w:r>
      <w:r w:rsidRPr="00A86354" w:rsidR="0006032C">
        <w:rPr>
          <w:rFonts w:cs="Arial"/>
          <w:lang w:val="fr-FR"/>
        </w:rPr>
        <w:t>’</w:t>
      </w:r>
      <w:r w:rsidRPr="00A86354" w:rsidR="007C0D24">
        <w:rPr>
          <w:rFonts w:cs="Arial"/>
          <w:lang w:val="fr-FR"/>
        </w:rPr>
        <w:t>Éduca</w:t>
      </w:r>
      <w:r w:rsidRPr="00A86354" w:rsidR="00811053">
        <w:rPr>
          <w:rFonts w:cs="Arial"/>
          <w:lang w:val="fr-FR"/>
        </w:rPr>
        <w:t xml:space="preserve">tion nationale en trois ans, </w:t>
      </w:r>
      <w:r w:rsidRPr="00A86354" w:rsidR="003C431F">
        <w:rPr>
          <w:rFonts w:cs="Arial"/>
          <w:lang w:val="fr-FR"/>
        </w:rPr>
        <w:t xml:space="preserve">soit </w:t>
      </w:r>
      <w:r w:rsidRPr="00A86354" w:rsidR="00811053">
        <w:rPr>
          <w:rFonts w:cs="Arial"/>
          <w:lang w:val="fr-FR"/>
        </w:rPr>
        <w:t>87</w:t>
      </w:r>
      <w:r w:rsidRPr="00A86354" w:rsidR="007C0D24">
        <w:rPr>
          <w:rFonts w:cs="Arial"/>
          <w:lang w:val="fr-FR"/>
        </w:rPr>
        <w:t xml:space="preserve">% des </w:t>
      </w:r>
      <w:r w:rsidRPr="00A86354" w:rsidR="003C431F">
        <w:rPr>
          <w:rFonts w:cs="Arial"/>
          <w:lang w:val="fr-FR"/>
        </w:rPr>
        <w:t xml:space="preserve">enfants </w:t>
      </w:r>
      <w:r w:rsidRPr="00A86354" w:rsidR="007C0D24">
        <w:rPr>
          <w:rFonts w:cs="Arial"/>
          <w:lang w:val="fr-FR"/>
        </w:rPr>
        <w:t>handicapés.</w:t>
      </w:r>
    </w:p>
    <w:p w:rsidRPr="00A86354" w:rsidR="008F0D0E" w:rsidP="008F0D0E" w:rsidRDefault="008F0D0E" w14:paraId="2B2C3096" w14:textId="77777777">
      <w:pPr>
        <w:ind w:left="360" w:hanging="360"/>
        <w:rPr>
          <w:rFonts w:ascii="Arial" w:hAnsi="Arial" w:cs="Arial"/>
          <w:lang w:val="fr-FR"/>
        </w:rPr>
      </w:pPr>
    </w:p>
    <w:p w:rsidRPr="00A86354" w:rsidR="00E02FD0" w:rsidP="00E02FD0" w:rsidRDefault="00E02FD0" w14:paraId="1656A76B" w14:textId="381A0C73">
      <w:pPr>
        <w:pStyle w:val="ListParagraph"/>
        <w:tabs>
          <w:tab w:val="left" w:pos="709"/>
          <w:tab w:val="left" w:pos="915"/>
        </w:tabs>
        <w:rPr>
          <w:rFonts w:cs="Arial"/>
          <w:lang w:val="fr-FR"/>
        </w:rPr>
      </w:pPr>
      <w:r w:rsidRPr="00A86354">
        <w:rPr>
          <w:rFonts w:eastAsia="Calibri" w:cs="Arial"/>
          <w:b/>
          <w:bCs/>
          <w:lang w:val="fr-FR"/>
        </w:rPr>
        <w:t xml:space="preserve">B – </w:t>
      </w:r>
      <w:r w:rsidRPr="00A86354" w:rsidR="00E97244">
        <w:rPr>
          <w:rFonts w:eastAsia="Calibri" w:cs="Arial"/>
          <w:b/>
          <w:bCs/>
          <w:lang w:val="fr-FR"/>
        </w:rPr>
        <w:t>Appréciation du Comité</w:t>
      </w:r>
    </w:p>
    <w:p w:rsidRPr="00A86354" w:rsidR="008F0D0E" w:rsidP="008F0D0E" w:rsidRDefault="008F0D0E" w14:paraId="3BA7DDAF" w14:textId="77777777">
      <w:pPr>
        <w:ind w:left="360" w:hanging="360"/>
        <w:rPr>
          <w:rFonts w:ascii="Arial" w:hAnsi="Arial" w:cs="Arial"/>
          <w:lang w:val="fr-FR"/>
        </w:rPr>
      </w:pPr>
    </w:p>
    <w:p w:rsidRPr="00A86354" w:rsidR="00F13B44" w:rsidP="00CE016A" w:rsidRDefault="007C0D24" w14:paraId="51B204D1" w14:textId="7D1D099C">
      <w:pPr>
        <w:pStyle w:val="ListParagraph"/>
        <w:numPr>
          <w:ilvl w:val="0"/>
          <w:numId w:val="1"/>
        </w:numPr>
        <w:ind w:left="0" w:firstLine="0"/>
        <w:rPr>
          <w:rFonts w:cs="Arial"/>
          <w:lang w:val="fr-FR"/>
        </w:rPr>
      </w:pPr>
      <w:r w:rsidRPr="00A86354">
        <w:rPr>
          <w:rFonts w:cs="Arial"/>
          <w:lang w:val="fr-FR"/>
        </w:rPr>
        <w:t>Le Comité rappelle qu</w:t>
      </w:r>
      <w:r w:rsidRPr="00A86354" w:rsidR="0006032C">
        <w:rPr>
          <w:rFonts w:cs="Arial"/>
          <w:lang w:val="fr-FR"/>
        </w:rPr>
        <w:t>’</w:t>
      </w:r>
      <w:r w:rsidRPr="00A86354">
        <w:rPr>
          <w:rFonts w:cs="Arial"/>
          <w:lang w:val="fr-FR"/>
        </w:rPr>
        <w:t>en vertu de l</w:t>
      </w:r>
      <w:r w:rsidRPr="00A86354" w:rsidR="0006032C">
        <w:rPr>
          <w:rFonts w:cs="Arial"/>
          <w:lang w:val="fr-FR"/>
        </w:rPr>
        <w:t>’</w:t>
      </w:r>
      <w:r w:rsidRPr="00A86354">
        <w:rPr>
          <w:rFonts w:cs="Arial"/>
          <w:lang w:val="fr-FR"/>
        </w:rPr>
        <w:t>article 15§1 de la Charte, toutes les personnes handicapées, quels que soient leur âge, la nature et l</w:t>
      </w:r>
      <w:r w:rsidRPr="00A86354" w:rsidR="0006032C">
        <w:rPr>
          <w:rFonts w:cs="Arial"/>
          <w:lang w:val="fr-FR"/>
        </w:rPr>
        <w:t>’</w:t>
      </w:r>
      <w:r w:rsidRPr="00A86354">
        <w:rPr>
          <w:rFonts w:cs="Arial"/>
          <w:lang w:val="fr-FR"/>
        </w:rPr>
        <w:t>origine de leur handicap, ont droit à une orientation, une éducation et une formation professionnelle dans le cadre du droit commun chaque fois que possible ou, si tel n</w:t>
      </w:r>
      <w:r w:rsidRPr="00A86354" w:rsidR="0006032C">
        <w:rPr>
          <w:rFonts w:cs="Arial"/>
          <w:lang w:val="fr-FR"/>
        </w:rPr>
        <w:t>’</w:t>
      </w:r>
      <w:r w:rsidRPr="00A86354">
        <w:rPr>
          <w:rFonts w:cs="Arial"/>
          <w:lang w:val="fr-FR"/>
        </w:rPr>
        <w:t>est pas le cas, par le biais d</w:t>
      </w:r>
      <w:r w:rsidRPr="00A86354" w:rsidR="0006032C">
        <w:rPr>
          <w:rFonts w:cs="Arial"/>
          <w:lang w:val="fr-FR"/>
        </w:rPr>
        <w:t>’</w:t>
      </w:r>
      <w:r w:rsidRPr="00A86354">
        <w:rPr>
          <w:rFonts w:cs="Arial"/>
          <w:lang w:val="fr-FR"/>
        </w:rPr>
        <w:t xml:space="preserve">institutions spécialisées publiques ou privées </w:t>
      </w:r>
      <w:r w:rsidRPr="00A86354" w:rsidR="00C3745D">
        <w:rPr>
          <w:rFonts w:cs="Arial"/>
          <w:lang w:val="fr-FR"/>
        </w:rPr>
        <w:t xml:space="preserve">(Conclusions 2020, </w:t>
      </w:r>
      <w:r w:rsidRPr="00A86354">
        <w:rPr>
          <w:rFonts w:cs="Arial"/>
          <w:lang w:val="fr-FR"/>
        </w:rPr>
        <w:t>Andorre</w:t>
      </w:r>
      <w:r w:rsidRPr="00A86354" w:rsidR="00C3745D">
        <w:rPr>
          <w:rFonts w:cs="Arial"/>
          <w:lang w:val="fr-FR"/>
        </w:rPr>
        <w:t>).</w:t>
      </w:r>
      <w:r w:rsidRPr="00A86354" w:rsidR="001134E0">
        <w:rPr>
          <w:rFonts w:cs="Arial"/>
          <w:lang w:val="fr-FR"/>
        </w:rPr>
        <w:t xml:space="preserve"> </w:t>
      </w:r>
      <w:r w:rsidRPr="00A86354">
        <w:rPr>
          <w:rFonts w:cs="Arial"/>
          <w:lang w:val="fr-FR"/>
        </w:rPr>
        <w:t>Le Comité rappelle également qu</w:t>
      </w:r>
      <w:r w:rsidRPr="00A86354" w:rsidR="0006032C">
        <w:rPr>
          <w:rFonts w:cs="Arial"/>
          <w:lang w:val="fr-FR"/>
        </w:rPr>
        <w:t>’</w:t>
      </w:r>
      <w:r w:rsidRPr="00A86354">
        <w:rPr>
          <w:rFonts w:cs="Arial"/>
          <w:lang w:val="fr-FR"/>
        </w:rPr>
        <w:t>il considère que la formation professionnelle englobe tous les types d</w:t>
      </w:r>
      <w:r w:rsidRPr="00A86354" w:rsidR="0006032C">
        <w:rPr>
          <w:rFonts w:cs="Arial"/>
          <w:lang w:val="fr-FR"/>
        </w:rPr>
        <w:t>’</w:t>
      </w:r>
      <w:r w:rsidRPr="00A86354">
        <w:rPr>
          <w:rFonts w:cs="Arial"/>
          <w:lang w:val="fr-FR"/>
        </w:rPr>
        <w:t>enseignement supérieur, y compris l</w:t>
      </w:r>
      <w:r w:rsidRPr="00A86354" w:rsidR="0006032C">
        <w:rPr>
          <w:rFonts w:cs="Arial"/>
          <w:lang w:val="fr-FR"/>
        </w:rPr>
        <w:t>’</w:t>
      </w:r>
      <w:r w:rsidRPr="00A86354">
        <w:rPr>
          <w:rFonts w:cs="Arial"/>
          <w:lang w:val="fr-FR"/>
        </w:rPr>
        <w:t xml:space="preserve">enseignement universitaire </w:t>
      </w:r>
      <w:r w:rsidRPr="00A86354" w:rsidR="001134E0">
        <w:rPr>
          <w:rFonts w:cs="Arial"/>
          <w:lang w:val="fr-FR"/>
        </w:rPr>
        <w:t>(Conclusions 2012, Irland</w:t>
      </w:r>
      <w:r w:rsidRPr="00A86354">
        <w:rPr>
          <w:rFonts w:cs="Arial"/>
          <w:lang w:val="fr-FR"/>
        </w:rPr>
        <w:t>e</w:t>
      </w:r>
      <w:r w:rsidRPr="00A86354" w:rsidR="001134E0">
        <w:rPr>
          <w:rFonts w:cs="Arial"/>
          <w:lang w:val="fr-FR"/>
        </w:rPr>
        <w:t xml:space="preserve">). </w:t>
      </w:r>
      <w:r w:rsidRPr="00A86354">
        <w:rPr>
          <w:rFonts w:cs="Arial"/>
          <w:lang w:val="fr-FR"/>
        </w:rPr>
        <w:t>L</w:t>
      </w:r>
      <w:r w:rsidRPr="00A86354" w:rsidR="0006032C">
        <w:rPr>
          <w:rFonts w:cs="Arial"/>
          <w:lang w:val="fr-FR"/>
        </w:rPr>
        <w:t>’</w:t>
      </w:r>
      <w:r w:rsidRPr="00A86354">
        <w:rPr>
          <w:rFonts w:cs="Arial"/>
          <w:lang w:val="fr-FR"/>
        </w:rPr>
        <w:t>a</w:t>
      </w:r>
      <w:r w:rsidRPr="00A86354" w:rsidR="00A7171B">
        <w:rPr>
          <w:rFonts w:cs="Arial"/>
          <w:lang w:val="fr-FR"/>
        </w:rPr>
        <w:t>rticle 15§1</w:t>
      </w:r>
      <w:r w:rsidRPr="00A86354" w:rsidR="001134E0">
        <w:rPr>
          <w:rFonts w:cs="Arial"/>
          <w:lang w:val="fr-FR"/>
        </w:rPr>
        <w:t xml:space="preserve"> </w:t>
      </w:r>
      <w:r w:rsidRPr="00A86354">
        <w:rPr>
          <w:rFonts w:cs="Arial"/>
          <w:lang w:val="fr-FR"/>
        </w:rPr>
        <w:t>oblige par conséquent les États parties à prendre des mesures en faveur de l</w:t>
      </w:r>
      <w:r w:rsidRPr="00A86354" w:rsidR="0006032C">
        <w:rPr>
          <w:rFonts w:cs="Arial"/>
          <w:lang w:val="fr-FR"/>
        </w:rPr>
        <w:t>’</w:t>
      </w:r>
      <w:r w:rsidRPr="00A86354">
        <w:rPr>
          <w:rFonts w:cs="Arial"/>
          <w:lang w:val="fr-FR"/>
        </w:rPr>
        <w:t xml:space="preserve">intégration des personnes handicapées dans le système éducatif et à veiller à ce que les établissements ordinaires et spécialisés dispensent un enseignement adéquat </w:t>
      </w:r>
      <w:r w:rsidRPr="00A86354" w:rsidR="00A7171B">
        <w:rPr>
          <w:rFonts w:cs="Arial"/>
          <w:lang w:val="fr-FR"/>
        </w:rPr>
        <w:t>(</w:t>
      </w:r>
      <w:r w:rsidRPr="00A86354">
        <w:rPr>
          <w:rFonts w:cs="Arial"/>
          <w:lang w:val="fr-FR"/>
        </w:rPr>
        <w:t>voir, par exemple</w:t>
      </w:r>
      <w:r w:rsidRPr="00A86354" w:rsidR="00A7171B">
        <w:rPr>
          <w:rFonts w:cs="Arial"/>
          <w:lang w:val="fr-FR"/>
        </w:rPr>
        <w:t xml:space="preserve">, Conclusions 2012, </w:t>
      </w:r>
      <w:r w:rsidRPr="00A86354" w:rsidR="00766624">
        <w:rPr>
          <w:rFonts w:cs="Arial"/>
          <w:lang w:val="fr-FR"/>
        </w:rPr>
        <w:t xml:space="preserve">Hongrie, </w:t>
      </w:r>
      <w:r w:rsidRPr="00A86354">
        <w:rPr>
          <w:rFonts w:cs="Arial"/>
          <w:lang w:val="fr-FR"/>
        </w:rPr>
        <w:t>a</w:t>
      </w:r>
      <w:r w:rsidRPr="00A86354" w:rsidR="00A7171B">
        <w:rPr>
          <w:rFonts w:cs="Arial"/>
          <w:lang w:val="fr-FR"/>
        </w:rPr>
        <w:t>rticle 15§1)</w:t>
      </w:r>
      <w:r w:rsidRPr="00A86354" w:rsidR="001134E0">
        <w:rPr>
          <w:rFonts w:cs="Arial"/>
          <w:lang w:val="fr-FR"/>
        </w:rPr>
        <w:t xml:space="preserve">. </w:t>
      </w:r>
      <w:r w:rsidRPr="00A86354">
        <w:rPr>
          <w:rFonts w:cs="Arial"/>
          <w:lang w:val="fr-FR"/>
        </w:rPr>
        <w:t>En outre</w:t>
      </w:r>
      <w:r w:rsidRPr="00A86354" w:rsidR="00A7171B">
        <w:rPr>
          <w:rFonts w:cs="Arial"/>
          <w:lang w:val="fr-FR"/>
        </w:rPr>
        <w:t>,</w:t>
      </w:r>
      <w:r w:rsidRPr="00A86354">
        <w:rPr>
          <w:rFonts w:cs="Arial"/>
          <w:lang w:val="fr-FR"/>
        </w:rPr>
        <w:t xml:space="preserve"> priorité doit être donnée à l</w:t>
      </w:r>
      <w:r w:rsidRPr="00A86354" w:rsidR="0006032C">
        <w:rPr>
          <w:rFonts w:cs="Arial"/>
          <w:lang w:val="fr-FR"/>
        </w:rPr>
        <w:t>’</w:t>
      </w:r>
      <w:r w:rsidRPr="00A86354">
        <w:rPr>
          <w:rFonts w:cs="Arial"/>
          <w:lang w:val="fr-FR"/>
        </w:rPr>
        <w:t xml:space="preserve">école ordinaire pour la scolarisation des enfants et adolescents handicapés </w:t>
      </w:r>
      <w:r w:rsidRPr="00A86354" w:rsidR="001134E0">
        <w:rPr>
          <w:rFonts w:cs="Arial"/>
          <w:lang w:val="fr-FR"/>
        </w:rPr>
        <w:t>(</w:t>
      </w:r>
      <w:r w:rsidRPr="00A86354" w:rsidR="00F13B44">
        <w:rPr>
          <w:rFonts w:cs="Arial"/>
          <w:lang w:val="fr-FR"/>
        </w:rPr>
        <w:t>AEH</w:t>
      </w:r>
      <w:r w:rsidRPr="00A86354" w:rsidR="005B776A">
        <w:rPr>
          <w:rFonts w:cs="Arial"/>
          <w:lang w:val="fr-FR"/>
        </w:rPr>
        <w:t xml:space="preserve"> </w:t>
      </w:r>
      <w:r w:rsidRPr="00A86354">
        <w:rPr>
          <w:rFonts w:cs="Arial"/>
          <w:lang w:val="fr-FR"/>
        </w:rPr>
        <w:t>c</w:t>
      </w:r>
      <w:r w:rsidRPr="00A86354" w:rsidR="00F13B44">
        <w:rPr>
          <w:rFonts w:cs="Arial"/>
          <w:lang w:val="fr-FR"/>
        </w:rPr>
        <w:t xml:space="preserve">. </w:t>
      </w:r>
      <w:r w:rsidRPr="00A86354" w:rsidR="00E96536">
        <w:rPr>
          <w:rFonts w:cs="Arial"/>
          <w:lang w:val="fr-FR"/>
        </w:rPr>
        <w:t>France, réclamation n° 81/2012</w:t>
      </w:r>
      <w:r w:rsidRPr="00A86354" w:rsidR="00F13B44">
        <w:rPr>
          <w:rFonts w:cs="Arial"/>
          <w:lang w:val="fr-FR"/>
        </w:rPr>
        <w:t xml:space="preserve">, </w:t>
      </w:r>
      <w:r w:rsidRPr="00A86354" w:rsidR="005B776A">
        <w:rPr>
          <w:rFonts w:cs="Arial"/>
          <w:i/>
          <w:iCs/>
          <w:lang w:val="fr-FR"/>
        </w:rPr>
        <w:t>op. cit.</w:t>
      </w:r>
      <w:r w:rsidRPr="00A86354" w:rsidR="00BA0B94">
        <w:rPr>
          <w:rFonts w:cs="Arial"/>
          <w:i/>
          <w:iCs/>
          <w:lang w:val="fr-FR"/>
        </w:rPr>
        <w:t>,</w:t>
      </w:r>
      <w:r w:rsidRPr="00A86354" w:rsidR="00F13B44">
        <w:rPr>
          <w:rFonts w:cs="Arial"/>
          <w:lang w:val="fr-FR"/>
        </w:rPr>
        <w:t xml:space="preserve"> </w:t>
      </w:r>
      <w:r w:rsidRPr="00A86354" w:rsidR="003C431F">
        <w:rPr>
          <w:rFonts w:cs="Arial"/>
          <w:lang w:val="fr-FR"/>
        </w:rPr>
        <w:t>par.</w:t>
      </w:r>
      <w:r w:rsidRPr="00A86354" w:rsidR="00766624">
        <w:rPr>
          <w:rFonts w:cs="Arial"/>
          <w:lang w:val="fr-FR"/>
        </w:rPr>
        <w:t> </w:t>
      </w:r>
      <w:r w:rsidRPr="00A86354" w:rsidR="00F13B44">
        <w:rPr>
          <w:rFonts w:cs="Arial"/>
          <w:lang w:val="fr-FR"/>
        </w:rPr>
        <w:t xml:space="preserve">78). </w:t>
      </w:r>
    </w:p>
    <w:p w:rsidRPr="00A86354" w:rsidR="00B815BC" w:rsidP="00B815BC" w:rsidRDefault="00B815BC" w14:paraId="5CA95E96" w14:textId="689E7A08">
      <w:pPr>
        <w:pStyle w:val="ListParagraph"/>
        <w:rPr>
          <w:rFonts w:cs="Arial"/>
          <w:lang w:val="fr-FR"/>
        </w:rPr>
      </w:pPr>
    </w:p>
    <w:p w:rsidRPr="00A86354" w:rsidR="00B815BC" w:rsidP="00CE016A" w:rsidRDefault="00B815BC" w14:paraId="5174242C" w14:textId="14D4EA11">
      <w:pPr>
        <w:numPr>
          <w:ilvl w:val="0"/>
          <w:numId w:val="1"/>
        </w:numPr>
        <w:ind w:left="0" w:firstLine="0"/>
        <w:rPr>
          <w:rFonts w:ascii="Arial" w:hAnsi="Arial" w:cs="Arial"/>
          <w:lang w:val="fr-FR"/>
        </w:rPr>
      </w:pPr>
      <w:r w:rsidRPr="00A86354">
        <w:rPr>
          <w:rFonts w:ascii="Arial" w:hAnsi="Arial" w:cs="Arial"/>
          <w:lang w:val="fr-FR"/>
        </w:rPr>
        <w:t>Le Comité a réitéré à plusieurs reprises que lorsqu'un droit est exceptionnellement complexe ou particulièrement coûteux à résoudre - comme c'est le cas pour l'article 15</w:t>
      </w:r>
      <w:r w:rsidRPr="00A86354" w:rsidR="003C431F">
        <w:rPr>
          <w:rFonts w:ascii="Arial" w:hAnsi="Arial" w:cs="Arial"/>
          <w:lang w:val="fr-FR"/>
        </w:rPr>
        <w:t>§</w:t>
      </w:r>
      <w:r w:rsidRPr="00A86354">
        <w:rPr>
          <w:rFonts w:ascii="Arial" w:hAnsi="Arial" w:cs="Arial"/>
          <w:lang w:val="fr-FR"/>
        </w:rPr>
        <w:t>1 en l'occurrence</w:t>
      </w:r>
      <w:r w:rsidRPr="00A86354" w:rsidR="003C431F">
        <w:rPr>
          <w:rFonts w:ascii="Arial" w:hAnsi="Arial" w:cs="Arial"/>
          <w:lang w:val="fr-FR"/>
        </w:rPr>
        <w:t xml:space="preserve"> </w:t>
      </w:r>
      <w:r w:rsidRPr="00A86354">
        <w:rPr>
          <w:rFonts w:ascii="Arial" w:hAnsi="Arial" w:cs="Arial"/>
          <w:lang w:val="fr-FR"/>
        </w:rPr>
        <w:t xml:space="preserve">- un État partie doit prendre des mesures qui lui permettent d'atteindre les objectifs de la Charte dans un délai raisonnable, avec des progrès mesurables et dans une mesure compatible avec l'utilisation maximale des ressources disponibles (Autisme-Europe c. </w:t>
      </w:r>
      <w:r w:rsidRPr="00A86354" w:rsidR="00E96536">
        <w:rPr>
          <w:rFonts w:ascii="Arial" w:hAnsi="Arial" w:cs="Arial"/>
          <w:lang w:val="fr-FR"/>
        </w:rPr>
        <w:t>France, réclamation n° 13/2002</w:t>
      </w:r>
      <w:bookmarkStart w:name="_Hlk121236089" w:id="29"/>
      <w:r w:rsidRPr="00A86354">
        <w:rPr>
          <w:rFonts w:ascii="Arial" w:hAnsi="Arial" w:cs="Arial"/>
          <w:lang w:val="fr-FR"/>
        </w:rPr>
        <w:t xml:space="preserve">, </w:t>
      </w:r>
      <w:r w:rsidRPr="00A86354">
        <w:rPr>
          <w:rFonts w:ascii="Arial" w:hAnsi="Arial" w:cs="Arial"/>
          <w:i/>
          <w:iCs/>
          <w:lang w:val="fr-FR"/>
        </w:rPr>
        <w:t>op.cit</w:t>
      </w:r>
      <w:r w:rsidRPr="00A86354">
        <w:rPr>
          <w:rFonts w:ascii="Arial" w:hAnsi="Arial" w:cs="Arial"/>
          <w:lang w:val="fr-FR"/>
        </w:rPr>
        <w:t xml:space="preserve">., </w:t>
      </w:r>
      <w:bookmarkEnd w:id="29"/>
      <w:r w:rsidRPr="00A86354" w:rsidR="003C431F">
        <w:rPr>
          <w:rFonts w:ascii="Arial" w:hAnsi="Arial" w:cs="Arial"/>
          <w:lang w:val="fr-FR"/>
        </w:rPr>
        <w:t xml:space="preserve">par. </w:t>
      </w:r>
      <w:r w:rsidRPr="00A86354">
        <w:rPr>
          <w:rFonts w:ascii="Arial" w:hAnsi="Arial" w:cs="Arial"/>
          <w:lang w:val="fr-FR"/>
        </w:rPr>
        <w:t xml:space="preserve">53 et AEH c. </w:t>
      </w:r>
      <w:r w:rsidRPr="00A86354" w:rsidR="00E96536">
        <w:rPr>
          <w:rFonts w:ascii="Arial" w:hAnsi="Arial" w:cs="Arial"/>
          <w:lang w:val="fr-FR"/>
        </w:rPr>
        <w:t>France, réclamation n° 81/2012</w:t>
      </w:r>
      <w:r w:rsidRPr="00A86354">
        <w:rPr>
          <w:rFonts w:ascii="Arial" w:hAnsi="Arial" w:cs="Arial"/>
          <w:lang w:val="fr-FR"/>
        </w:rPr>
        <w:t xml:space="preserve">, </w:t>
      </w:r>
      <w:r w:rsidRPr="00A86354">
        <w:rPr>
          <w:rFonts w:ascii="Arial" w:hAnsi="Arial" w:cs="Arial"/>
          <w:i/>
          <w:iCs/>
          <w:lang w:val="fr-FR"/>
        </w:rPr>
        <w:t>op. cit</w:t>
      </w:r>
      <w:r w:rsidRPr="00A86354">
        <w:rPr>
          <w:rFonts w:ascii="Arial" w:hAnsi="Arial" w:cs="Arial"/>
          <w:lang w:val="fr-FR"/>
        </w:rPr>
        <w:t xml:space="preserve">., </w:t>
      </w:r>
      <w:r w:rsidRPr="00A86354" w:rsidR="003C431F">
        <w:rPr>
          <w:rFonts w:ascii="Arial" w:hAnsi="Arial" w:cs="Arial"/>
          <w:lang w:val="fr-FR"/>
        </w:rPr>
        <w:t xml:space="preserve">par. </w:t>
      </w:r>
      <w:r w:rsidRPr="00A86354">
        <w:rPr>
          <w:rFonts w:ascii="Arial" w:hAnsi="Arial" w:cs="Arial"/>
          <w:lang w:val="fr-FR"/>
        </w:rPr>
        <w:t xml:space="preserve">79).  </w:t>
      </w:r>
    </w:p>
    <w:p w:rsidRPr="00A86354" w:rsidR="00B815BC" w:rsidP="00B815BC" w:rsidRDefault="00B815BC" w14:paraId="22BC6112" w14:textId="2FE4B30D">
      <w:pPr>
        <w:pStyle w:val="ListParagraph"/>
        <w:rPr>
          <w:rFonts w:cs="Arial"/>
          <w:lang w:val="fr-FR"/>
        </w:rPr>
      </w:pPr>
    </w:p>
    <w:p w:rsidRPr="00A86354" w:rsidR="00B815BC" w:rsidP="00CE016A" w:rsidRDefault="00B815BC" w14:paraId="570E12A4" w14:textId="43713B9C">
      <w:pPr>
        <w:numPr>
          <w:ilvl w:val="0"/>
          <w:numId w:val="1"/>
        </w:numPr>
        <w:ind w:left="0" w:firstLine="0"/>
        <w:rPr>
          <w:rFonts w:ascii="Arial" w:hAnsi="Arial" w:cs="Arial"/>
          <w:lang w:val="fr-FR"/>
        </w:rPr>
      </w:pPr>
      <w:bookmarkStart w:name="_Hlk113103030" w:id="30"/>
      <w:r w:rsidRPr="00A86354">
        <w:rPr>
          <w:rFonts w:ascii="Arial" w:hAnsi="Arial" w:cs="Arial"/>
          <w:lang w:val="fr-FR"/>
        </w:rPr>
        <w:t>Le Comité a également précisé que le droit à l'</w:t>
      </w:r>
      <w:r w:rsidRPr="00A86354">
        <w:rPr>
          <w:rFonts w:ascii="Arial" w:hAnsi="Arial" w:cs="Arial"/>
          <w:color w:val="000000"/>
          <w:spacing w:val="-1"/>
          <w:shd w:val="clear" w:color="auto" w:fill="FFFFFF"/>
          <w:lang w:val="fr-FR"/>
        </w:rPr>
        <w:t>éducation inclusive implique la fourniture d</w:t>
      </w:r>
      <w:r w:rsidRPr="00A86354" w:rsidR="000D0F98">
        <w:rPr>
          <w:rFonts w:ascii="Arial" w:hAnsi="Arial" w:cs="Arial"/>
          <w:color w:val="000000"/>
          <w:spacing w:val="-1"/>
          <w:shd w:val="clear" w:color="auto" w:fill="FFFFFF"/>
          <w:lang w:val="fr-FR"/>
        </w:rPr>
        <w:t>e</w:t>
      </w:r>
      <w:r w:rsidRPr="00A86354">
        <w:rPr>
          <w:rFonts w:ascii="Arial" w:hAnsi="Arial" w:cs="Arial"/>
          <w:color w:val="000000"/>
          <w:spacing w:val="-1"/>
          <w:shd w:val="clear" w:color="auto" w:fill="FFFFFF"/>
          <w:lang w:val="fr-FR"/>
        </w:rPr>
        <w:t xml:space="preserve"> soutien et d'aménagements raisonnables </w:t>
      </w:r>
      <w:r w:rsidRPr="00A86354" w:rsidR="000D0F98">
        <w:rPr>
          <w:rFonts w:ascii="Arial" w:hAnsi="Arial" w:cs="Arial"/>
          <w:color w:val="000000"/>
          <w:spacing w:val="-1"/>
          <w:shd w:val="clear" w:color="auto" w:fill="FFFFFF"/>
          <w:lang w:val="fr-FR"/>
        </w:rPr>
        <w:t xml:space="preserve">dont </w:t>
      </w:r>
      <w:r w:rsidRPr="00A86354">
        <w:rPr>
          <w:rFonts w:ascii="Arial" w:hAnsi="Arial" w:cs="Arial"/>
          <w:color w:val="000000"/>
          <w:spacing w:val="-1"/>
          <w:shd w:val="clear" w:color="auto" w:fill="FFFFFF"/>
          <w:lang w:val="fr-FR"/>
        </w:rPr>
        <w:t xml:space="preserve">les personnes handicapées sont en droit d'attendre </w:t>
      </w:r>
      <w:r w:rsidRPr="00A86354" w:rsidR="000D0F98">
        <w:rPr>
          <w:rFonts w:ascii="Arial" w:hAnsi="Arial" w:cs="Arial"/>
          <w:color w:val="000000"/>
          <w:spacing w:val="-1"/>
          <w:shd w:val="clear" w:color="auto" w:fill="FFFFFF"/>
          <w:lang w:val="fr-FR"/>
        </w:rPr>
        <w:t xml:space="preserve">en vue </w:t>
      </w:r>
      <w:r w:rsidRPr="00A86354">
        <w:rPr>
          <w:rFonts w:ascii="Arial" w:hAnsi="Arial" w:cs="Arial"/>
          <w:color w:val="000000"/>
          <w:spacing w:val="-1"/>
          <w:shd w:val="clear" w:color="auto" w:fill="FFFFFF"/>
          <w:lang w:val="fr-FR"/>
        </w:rPr>
        <w:t xml:space="preserve">d'accéder </w:t>
      </w:r>
      <w:r w:rsidRPr="00A86354" w:rsidR="000D0F98">
        <w:rPr>
          <w:rFonts w:ascii="Arial" w:hAnsi="Arial" w:cs="Arial"/>
          <w:color w:val="000000"/>
          <w:spacing w:val="-1"/>
          <w:shd w:val="clear" w:color="auto" w:fill="FFFFFF"/>
          <w:lang w:val="fr-FR"/>
        </w:rPr>
        <w:t xml:space="preserve">effectivement </w:t>
      </w:r>
      <w:r w:rsidRPr="00A86354">
        <w:rPr>
          <w:rFonts w:ascii="Arial" w:hAnsi="Arial" w:cs="Arial"/>
          <w:color w:val="000000"/>
          <w:spacing w:val="-1"/>
          <w:shd w:val="clear" w:color="auto" w:fill="FFFFFF"/>
          <w:lang w:val="fr-FR"/>
        </w:rPr>
        <w:t xml:space="preserve">aux écoles. </w:t>
      </w:r>
      <w:r w:rsidRPr="00A86354" w:rsidR="000D0F98">
        <w:rPr>
          <w:rFonts w:ascii="Arial" w:hAnsi="Arial" w:cs="Arial"/>
          <w:color w:val="000000"/>
          <w:spacing w:val="-1"/>
          <w:shd w:val="clear" w:color="auto" w:fill="FFFFFF"/>
          <w:lang w:val="fr-FR"/>
        </w:rPr>
        <w:t xml:space="preserve">De tels aménagements raisonnables se rapportent à l’individu et aident à corriger des inégalités factuelles. </w:t>
      </w:r>
      <w:r w:rsidRPr="00A86354" w:rsidR="000D0F98">
        <w:rPr>
          <w:rFonts w:ascii="Arial" w:hAnsi="Arial"/>
          <w:lang w:val="fr-FR"/>
        </w:rPr>
        <w:t>(</w:t>
      </w:r>
      <w:r w:rsidRPr="00A86354">
        <w:rPr>
          <w:rFonts w:ascii="Arial" w:hAnsi="Arial"/>
          <w:lang w:val="fr-FR"/>
        </w:rPr>
        <w:t xml:space="preserve">MDAC c. Belgique, </w:t>
      </w:r>
      <w:r w:rsidRPr="00A86354" w:rsidR="003C431F">
        <w:rPr>
          <w:rFonts w:ascii="Arial" w:hAnsi="Arial"/>
          <w:lang w:val="fr-FR"/>
        </w:rPr>
        <w:t>r</w:t>
      </w:r>
      <w:r w:rsidRPr="00A86354">
        <w:rPr>
          <w:rFonts w:ascii="Arial" w:hAnsi="Arial"/>
          <w:lang w:val="fr-FR"/>
        </w:rPr>
        <w:t>éclamation n°</w:t>
      </w:r>
      <w:r w:rsidRPr="00A86354" w:rsidR="003C431F">
        <w:rPr>
          <w:rFonts w:ascii="Arial" w:hAnsi="Arial"/>
          <w:lang w:val="fr-FR"/>
        </w:rPr>
        <w:t xml:space="preserve"> </w:t>
      </w:r>
      <w:r w:rsidRPr="00A86354">
        <w:rPr>
          <w:rFonts w:ascii="Arial" w:hAnsi="Arial"/>
          <w:lang w:val="fr-FR"/>
        </w:rPr>
        <w:t xml:space="preserve">109/2014, </w:t>
      </w:r>
      <w:r w:rsidRPr="00A86354" w:rsidR="00D531BD">
        <w:rPr>
          <w:rFonts w:ascii="Arial" w:hAnsi="Arial"/>
          <w:i/>
          <w:iCs/>
          <w:lang w:val="fr-FR"/>
        </w:rPr>
        <w:t>op.cit</w:t>
      </w:r>
      <w:r w:rsidRPr="00A86354" w:rsidR="00D531BD">
        <w:rPr>
          <w:rFonts w:ascii="Arial" w:hAnsi="Arial"/>
          <w:lang w:val="fr-FR"/>
        </w:rPr>
        <w:t>.,</w:t>
      </w:r>
      <w:r w:rsidRPr="00A86354">
        <w:rPr>
          <w:rFonts w:ascii="Arial" w:hAnsi="Arial"/>
          <w:lang w:val="fr-FR"/>
        </w:rPr>
        <w:t xml:space="preserve"> </w:t>
      </w:r>
      <w:r w:rsidRPr="00A86354" w:rsidR="003C431F">
        <w:rPr>
          <w:rFonts w:ascii="Arial" w:hAnsi="Arial"/>
          <w:lang w:val="fr-FR"/>
        </w:rPr>
        <w:t>par.</w:t>
      </w:r>
      <w:r w:rsidRPr="00A86354">
        <w:rPr>
          <w:rFonts w:ascii="Arial" w:hAnsi="Arial"/>
          <w:lang w:val="fr-FR"/>
        </w:rPr>
        <w:t xml:space="preserve"> 72). </w:t>
      </w:r>
      <w:r w:rsidRPr="00A86354">
        <w:rPr>
          <w:rFonts w:ascii="Arial" w:hAnsi="Arial" w:cs="Arial"/>
          <w:lang w:val="fr-FR"/>
        </w:rPr>
        <w:t xml:space="preserve">Le Comité a également précisé que le </w:t>
      </w:r>
      <w:r w:rsidRPr="00A86354">
        <w:rPr>
          <w:rFonts w:ascii="Arial" w:hAnsi="Arial" w:cs="Arial"/>
          <w:color w:val="000000"/>
          <w:shd w:val="clear" w:color="auto" w:fill="FFFFFF"/>
          <w:lang w:val="fr-FR"/>
        </w:rPr>
        <w:t xml:space="preserve">droit à une éducation inclusive concerne </w:t>
      </w:r>
      <w:r w:rsidRPr="00A86354" w:rsidR="002E4F63">
        <w:rPr>
          <w:rFonts w:ascii="Arial" w:hAnsi="Arial" w:cs="Arial"/>
          <w:color w:val="000000"/>
          <w:shd w:val="clear" w:color="auto" w:fill="FFFFFF"/>
          <w:lang w:val="fr-FR"/>
        </w:rPr>
        <w:t xml:space="preserve">le droit de l'enfant de participer à l'école ordinaire et l’obligation de l'école d'accepter l'enfant en tenant compte de l'intérêt supérieur de l'enfant, ainsi que des capacités et des besoins éducatifs de l'élève </w:t>
      </w:r>
      <w:r w:rsidRPr="00A86354">
        <w:rPr>
          <w:rFonts w:ascii="Arial" w:hAnsi="Arial" w:cs="Arial"/>
          <w:lang w:val="fr-FR"/>
        </w:rPr>
        <w:t>(</w:t>
      </w:r>
      <w:r w:rsidRPr="00A86354" w:rsidR="000D0F98">
        <w:rPr>
          <w:rFonts w:ascii="Arial" w:hAnsi="Arial" w:cs="Arial"/>
          <w:lang w:val="fr-FR"/>
        </w:rPr>
        <w:t>Fédération internationale des droits de l'homme (</w:t>
      </w:r>
      <w:r w:rsidRPr="00A86354">
        <w:rPr>
          <w:rFonts w:ascii="Arial" w:hAnsi="Arial" w:cs="Arial"/>
          <w:lang w:val="fr-FR"/>
        </w:rPr>
        <w:t>FIDH</w:t>
      </w:r>
      <w:r w:rsidRPr="00A86354" w:rsidR="000D0F98">
        <w:rPr>
          <w:rFonts w:ascii="Arial" w:hAnsi="Arial" w:cs="Arial"/>
          <w:lang w:val="fr-FR"/>
        </w:rPr>
        <w:t>)</w:t>
      </w:r>
      <w:r w:rsidRPr="00A86354">
        <w:rPr>
          <w:rFonts w:ascii="Arial" w:hAnsi="Arial" w:cs="Arial"/>
          <w:lang w:val="fr-FR"/>
        </w:rPr>
        <w:t xml:space="preserve"> </w:t>
      </w:r>
      <w:r w:rsidRPr="00A86354" w:rsidR="000D0F98">
        <w:rPr>
          <w:rFonts w:ascii="Arial" w:hAnsi="Arial" w:cs="Arial"/>
          <w:lang w:val="fr-FR"/>
        </w:rPr>
        <w:t xml:space="preserve">et Inclusion Europe </w:t>
      </w:r>
      <w:r w:rsidRPr="00A86354">
        <w:rPr>
          <w:rFonts w:ascii="Arial" w:hAnsi="Arial" w:cs="Arial"/>
          <w:lang w:val="fr-FR"/>
        </w:rPr>
        <w:t xml:space="preserve">c. Belgique </w:t>
      </w:r>
      <w:r w:rsidRPr="00A86354" w:rsidR="000D0F98">
        <w:rPr>
          <w:rFonts w:ascii="Arial" w:hAnsi="Arial" w:cs="Arial"/>
          <w:lang w:val="fr-FR"/>
        </w:rPr>
        <w:t>r</w:t>
      </w:r>
      <w:r w:rsidRPr="00A86354">
        <w:rPr>
          <w:rFonts w:ascii="Arial" w:hAnsi="Arial" w:cs="Arial"/>
          <w:lang w:val="fr-FR"/>
        </w:rPr>
        <w:t>éclamation n</w:t>
      </w:r>
      <w:r w:rsidRPr="00A86354" w:rsidR="000D0F98">
        <w:rPr>
          <w:rFonts w:ascii="Arial" w:hAnsi="Arial" w:cs="Arial"/>
          <w:lang w:val="fr-FR"/>
        </w:rPr>
        <w:t>°</w:t>
      </w:r>
      <w:r w:rsidRPr="00A86354">
        <w:rPr>
          <w:rFonts w:ascii="Arial" w:hAnsi="Arial" w:cs="Arial"/>
          <w:lang w:val="fr-FR"/>
        </w:rPr>
        <w:t xml:space="preserve"> 141/2017, </w:t>
      </w:r>
      <w:r w:rsidRPr="00A86354" w:rsidR="000D0F98">
        <w:rPr>
          <w:rFonts w:ascii="Arial" w:hAnsi="Arial" w:cs="Arial"/>
          <w:lang w:val="fr-FR"/>
        </w:rPr>
        <w:t>d</w:t>
      </w:r>
      <w:r w:rsidRPr="00A86354">
        <w:rPr>
          <w:rFonts w:ascii="Arial" w:hAnsi="Arial" w:cs="Arial"/>
          <w:lang w:val="fr-FR"/>
        </w:rPr>
        <w:t xml:space="preserve">écision sur le bien-fondé </w:t>
      </w:r>
      <w:r w:rsidRPr="00A86354" w:rsidR="000D0F98">
        <w:rPr>
          <w:rFonts w:ascii="Arial" w:hAnsi="Arial" w:cs="Arial"/>
          <w:lang w:val="fr-FR"/>
        </w:rPr>
        <w:t xml:space="preserve">du </w:t>
      </w:r>
      <w:r w:rsidRPr="00A86354">
        <w:rPr>
          <w:rFonts w:ascii="Arial" w:hAnsi="Arial" w:cs="Arial"/>
          <w:lang w:val="fr-FR"/>
        </w:rPr>
        <w:t xml:space="preserve">9 septembre 2020, </w:t>
      </w:r>
      <w:r w:rsidRPr="00A86354" w:rsidR="000D0F98">
        <w:rPr>
          <w:rFonts w:ascii="Arial" w:hAnsi="Arial" w:cs="Arial"/>
          <w:lang w:val="fr-FR"/>
        </w:rPr>
        <w:t xml:space="preserve">par. </w:t>
      </w:r>
      <w:r w:rsidRPr="00A86354">
        <w:rPr>
          <w:rFonts w:ascii="Arial" w:hAnsi="Arial" w:cs="Arial"/>
          <w:lang w:val="fr-FR"/>
        </w:rPr>
        <w:t>168</w:t>
      </w:r>
      <w:bookmarkEnd w:id="30"/>
      <w:r w:rsidRPr="00A86354">
        <w:rPr>
          <w:rFonts w:ascii="Arial" w:hAnsi="Arial" w:cs="Arial"/>
          <w:lang w:val="fr-FR"/>
        </w:rPr>
        <w:t xml:space="preserve">). Dans la mise en œuvre du droit à l'éducation inclusive, les autorités doivent tenir compte du </w:t>
      </w:r>
      <w:r w:rsidRPr="00A86354" w:rsidR="002E4F63">
        <w:rPr>
          <w:rFonts w:ascii="Arial" w:hAnsi="Arial" w:cs="Arial"/>
          <w:lang w:val="fr-FR"/>
        </w:rPr>
        <w:t xml:space="preserve">type de handicap concerné, du degré de sa gravité et de la diversité des situations individuelles rencontrées et examinées </w:t>
      </w:r>
      <w:r w:rsidRPr="00A86354" w:rsidR="002E4F63">
        <w:rPr>
          <w:rFonts w:ascii="Arial" w:hAnsi="Arial" w:cs="Arial"/>
          <w:lang w:val="fr-FR"/>
        </w:rPr>
        <w:lastRenderedPageBreak/>
        <w:t xml:space="preserve">au cas par cas. </w:t>
      </w:r>
      <w:r w:rsidRPr="00A86354">
        <w:rPr>
          <w:rFonts w:ascii="Arial" w:hAnsi="Arial" w:cs="Arial"/>
          <w:lang w:val="fr-FR"/>
        </w:rPr>
        <w:t>(</w:t>
      </w:r>
      <w:r w:rsidRPr="00A86354" w:rsidR="000D0F98">
        <w:rPr>
          <w:rFonts w:ascii="Arial" w:hAnsi="Arial" w:cs="Arial"/>
          <w:lang w:val="fr-FR"/>
        </w:rPr>
        <w:t>v</w:t>
      </w:r>
      <w:r w:rsidRPr="00A86354">
        <w:rPr>
          <w:rFonts w:ascii="Arial" w:hAnsi="Arial" w:cs="Arial"/>
          <w:lang w:val="fr-FR"/>
        </w:rPr>
        <w:t xml:space="preserve">oir, par exemple, FIDH et </w:t>
      </w:r>
      <w:bookmarkStart w:name="_Hlk121236165" w:id="31"/>
      <w:r w:rsidRPr="00A86354">
        <w:rPr>
          <w:rFonts w:ascii="Arial" w:hAnsi="Arial" w:cs="Arial"/>
          <w:lang w:val="fr-FR"/>
        </w:rPr>
        <w:t xml:space="preserve">Inclusion Europe </w:t>
      </w:r>
      <w:bookmarkEnd w:id="31"/>
      <w:r w:rsidRPr="00A86354">
        <w:rPr>
          <w:rFonts w:ascii="Arial" w:hAnsi="Arial" w:cs="Arial"/>
          <w:lang w:val="fr-FR"/>
        </w:rPr>
        <w:t xml:space="preserve">c. Belgique, </w:t>
      </w:r>
      <w:r w:rsidRPr="00A86354" w:rsidR="000D0F98">
        <w:rPr>
          <w:rFonts w:ascii="Arial" w:hAnsi="Arial" w:cs="Arial"/>
          <w:lang w:val="fr-FR"/>
        </w:rPr>
        <w:t>r</w:t>
      </w:r>
      <w:r w:rsidRPr="00A86354">
        <w:rPr>
          <w:rFonts w:ascii="Arial" w:hAnsi="Arial" w:cs="Arial"/>
          <w:lang w:val="fr-FR"/>
        </w:rPr>
        <w:t xml:space="preserve">éclamation n° 141/2017, </w:t>
      </w:r>
      <w:bookmarkStart w:name="_Hlk121303857" w:id="32"/>
      <w:r w:rsidRPr="00A86354" w:rsidR="000D0F98">
        <w:rPr>
          <w:rFonts w:ascii="Arial" w:hAnsi="Arial" w:cs="Arial"/>
          <w:i/>
          <w:iCs/>
          <w:lang w:val="fr-FR"/>
        </w:rPr>
        <w:t>op.cit</w:t>
      </w:r>
      <w:r w:rsidRPr="00A86354" w:rsidR="000D0F98">
        <w:rPr>
          <w:rFonts w:ascii="Arial" w:hAnsi="Arial" w:cs="Arial"/>
          <w:lang w:val="fr-FR"/>
        </w:rPr>
        <w:t>.</w:t>
      </w:r>
      <w:r w:rsidRPr="00A86354" w:rsidR="002E4F63">
        <w:rPr>
          <w:rFonts w:ascii="Arial" w:hAnsi="Arial" w:cs="Arial"/>
          <w:lang w:val="fr-FR"/>
        </w:rPr>
        <w:t xml:space="preserve">, </w:t>
      </w:r>
      <w:bookmarkEnd w:id="32"/>
      <w:r w:rsidRPr="00A86354" w:rsidR="002E4F63">
        <w:rPr>
          <w:rFonts w:ascii="Arial" w:hAnsi="Arial" w:cs="Arial"/>
          <w:lang w:val="fr-FR"/>
        </w:rPr>
        <w:t>par. 167</w:t>
      </w:r>
      <w:r w:rsidRPr="00A86354">
        <w:rPr>
          <w:rFonts w:ascii="Arial" w:hAnsi="Arial" w:cs="Arial"/>
          <w:lang w:val="fr-FR"/>
        </w:rPr>
        <w:t xml:space="preserve">). </w:t>
      </w:r>
    </w:p>
    <w:p w:rsidRPr="00A86354" w:rsidR="008F0D0E" w:rsidP="008F0D0E" w:rsidRDefault="008F0D0E" w14:paraId="0152A5EA" w14:textId="77777777">
      <w:pPr>
        <w:ind w:left="360" w:hanging="360"/>
        <w:rPr>
          <w:rFonts w:ascii="Arial" w:hAnsi="Arial" w:cs="Arial"/>
          <w:lang w:val="fr-FR"/>
        </w:rPr>
      </w:pPr>
    </w:p>
    <w:p w:rsidRPr="00A86354" w:rsidR="00F13B44" w:rsidP="00CE016A" w:rsidRDefault="00811053" w14:paraId="529D4557" w14:textId="1112D265">
      <w:pPr>
        <w:pStyle w:val="ListParagraph"/>
        <w:numPr>
          <w:ilvl w:val="0"/>
          <w:numId w:val="1"/>
        </w:numPr>
        <w:ind w:left="0" w:firstLine="0"/>
        <w:rPr>
          <w:rFonts w:cs="Arial"/>
          <w:lang w:val="fr-FR"/>
        </w:rPr>
      </w:pPr>
      <w:r w:rsidRPr="00A86354">
        <w:rPr>
          <w:rFonts w:cs="Arial"/>
          <w:lang w:val="fr-FR"/>
        </w:rPr>
        <w:t>Dans ce contexte, les États parties sont tenus de fournir l</w:t>
      </w:r>
      <w:r w:rsidRPr="00A86354" w:rsidR="0006032C">
        <w:rPr>
          <w:rFonts w:cs="Arial"/>
          <w:lang w:val="fr-FR"/>
        </w:rPr>
        <w:t>’</w:t>
      </w:r>
      <w:r w:rsidRPr="00A86354">
        <w:rPr>
          <w:rFonts w:cs="Arial"/>
          <w:lang w:val="fr-FR"/>
        </w:rPr>
        <w:t>aide humaine nécessaire à l</w:t>
      </w:r>
      <w:r w:rsidRPr="00A86354" w:rsidR="0006032C">
        <w:rPr>
          <w:rFonts w:cs="Arial"/>
          <w:lang w:val="fr-FR"/>
        </w:rPr>
        <w:t>’</w:t>
      </w:r>
      <w:r w:rsidRPr="00A86354">
        <w:rPr>
          <w:rFonts w:cs="Arial"/>
          <w:lang w:val="fr-FR"/>
        </w:rPr>
        <w:t>accès à l</w:t>
      </w:r>
      <w:r w:rsidRPr="00A86354" w:rsidR="0006032C">
        <w:rPr>
          <w:rFonts w:cs="Arial"/>
          <w:lang w:val="fr-FR"/>
        </w:rPr>
        <w:t>’</w:t>
      </w:r>
      <w:r w:rsidRPr="00A86354">
        <w:rPr>
          <w:rFonts w:cs="Arial"/>
          <w:lang w:val="fr-FR"/>
        </w:rPr>
        <w:t>éducation de l</w:t>
      </w:r>
      <w:r w:rsidRPr="00A86354" w:rsidR="0006032C">
        <w:rPr>
          <w:rFonts w:cs="Arial"/>
          <w:lang w:val="fr-FR"/>
        </w:rPr>
        <w:t>’</w:t>
      </w:r>
      <w:r w:rsidRPr="00A86354">
        <w:rPr>
          <w:rFonts w:cs="Arial"/>
          <w:lang w:val="fr-FR"/>
        </w:rPr>
        <w:t>élève concerné. Dans l</w:t>
      </w:r>
      <w:r w:rsidRPr="00A86354" w:rsidR="0006032C">
        <w:rPr>
          <w:rFonts w:cs="Arial"/>
          <w:lang w:val="fr-FR"/>
        </w:rPr>
        <w:t>’</w:t>
      </w:r>
      <w:r w:rsidRPr="00A86354">
        <w:rPr>
          <w:rFonts w:cs="Arial"/>
          <w:lang w:val="fr-FR"/>
        </w:rPr>
        <w:t>affaire</w:t>
      </w:r>
      <w:r w:rsidRPr="00A86354" w:rsidR="00F13B44">
        <w:rPr>
          <w:rFonts w:cs="Arial"/>
          <w:lang w:val="fr-FR"/>
        </w:rPr>
        <w:t xml:space="preserve"> AEH </w:t>
      </w:r>
      <w:r w:rsidRPr="00A86354">
        <w:rPr>
          <w:rFonts w:cs="Arial"/>
          <w:lang w:val="fr-FR"/>
        </w:rPr>
        <w:t>c</w:t>
      </w:r>
      <w:r w:rsidRPr="00A86354" w:rsidR="009F0EDE">
        <w:rPr>
          <w:rFonts w:cs="Arial"/>
          <w:lang w:val="fr-FR"/>
        </w:rPr>
        <w:t>.</w:t>
      </w:r>
      <w:r w:rsidRPr="00A86354" w:rsidR="00F13B44">
        <w:rPr>
          <w:rFonts w:cs="Arial"/>
          <w:lang w:val="fr-FR"/>
        </w:rPr>
        <w:t xml:space="preserve"> </w:t>
      </w:r>
      <w:r w:rsidRPr="00A86354" w:rsidR="00E96536">
        <w:rPr>
          <w:rFonts w:cs="Arial"/>
          <w:lang w:val="fr-FR"/>
        </w:rPr>
        <w:t xml:space="preserve">France, réclamation n° 81/2012 </w:t>
      </w:r>
      <w:r w:rsidRPr="00A86354" w:rsidR="00F13B44">
        <w:rPr>
          <w:rFonts w:cs="Arial"/>
          <w:lang w:val="fr-FR"/>
        </w:rPr>
        <w:t>(</w:t>
      </w:r>
      <w:r w:rsidRPr="00A86354" w:rsidR="00F13B44">
        <w:rPr>
          <w:rFonts w:cs="Arial"/>
          <w:i/>
          <w:iCs/>
          <w:lang w:val="fr-FR"/>
        </w:rPr>
        <w:t xml:space="preserve">op. cit., </w:t>
      </w:r>
      <w:r w:rsidRPr="00A86354" w:rsidR="00E96536">
        <w:rPr>
          <w:rFonts w:cs="Arial"/>
          <w:lang w:val="fr-FR"/>
        </w:rPr>
        <w:t>paragraphes</w:t>
      </w:r>
      <w:r w:rsidRPr="00A86354" w:rsidR="00766624">
        <w:rPr>
          <w:rFonts w:cs="Arial"/>
          <w:lang w:val="fr-FR"/>
        </w:rPr>
        <w:t> </w:t>
      </w:r>
      <w:r w:rsidRPr="00A86354" w:rsidR="00F13B44">
        <w:rPr>
          <w:rFonts w:cs="Arial"/>
          <w:lang w:val="fr-FR"/>
        </w:rPr>
        <w:t>81</w:t>
      </w:r>
      <w:r w:rsidRPr="00A86354" w:rsidR="0096102C">
        <w:rPr>
          <w:rFonts w:cs="Arial"/>
          <w:lang w:val="fr-FR"/>
        </w:rPr>
        <w:t xml:space="preserve"> </w:t>
      </w:r>
      <w:r w:rsidRPr="00A86354">
        <w:rPr>
          <w:rFonts w:cs="Arial"/>
          <w:lang w:val="fr-FR"/>
        </w:rPr>
        <w:t>et</w:t>
      </w:r>
      <w:r w:rsidRPr="00A86354" w:rsidR="0096102C">
        <w:rPr>
          <w:rFonts w:cs="Arial"/>
          <w:lang w:val="fr-FR"/>
        </w:rPr>
        <w:t xml:space="preserve"> 85</w:t>
      </w:r>
      <w:r w:rsidRPr="00A86354">
        <w:rPr>
          <w:rFonts w:cs="Arial"/>
          <w:lang w:val="fr-FR"/>
        </w:rPr>
        <w:t>), le Comité</w:t>
      </w:r>
      <w:r w:rsidRPr="00A86354" w:rsidR="00F13B44">
        <w:rPr>
          <w:rFonts w:cs="Arial"/>
          <w:lang w:val="fr-FR"/>
        </w:rPr>
        <w:t xml:space="preserve"> </w:t>
      </w:r>
      <w:r w:rsidRPr="00A86354">
        <w:rPr>
          <w:rFonts w:cs="Arial"/>
          <w:lang w:val="fr-FR"/>
        </w:rPr>
        <w:t>a précisé qu</w:t>
      </w:r>
      <w:r w:rsidRPr="00A86354" w:rsidR="0006032C">
        <w:rPr>
          <w:rFonts w:cs="Arial"/>
          <w:lang w:val="fr-FR"/>
        </w:rPr>
        <w:t>’</w:t>
      </w:r>
      <w:r w:rsidRPr="00A86354">
        <w:rPr>
          <w:rFonts w:cs="Arial"/>
          <w:lang w:val="fr-FR"/>
        </w:rPr>
        <w:t>il attachait une importance particulière à l</w:t>
      </w:r>
      <w:r w:rsidRPr="00A86354" w:rsidR="0006032C">
        <w:rPr>
          <w:rFonts w:cs="Arial"/>
          <w:lang w:val="fr-FR"/>
        </w:rPr>
        <w:t>’</w:t>
      </w:r>
      <w:r w:rsidRPr="00A86354">
        <w:rPr>
          <w:rFonts w:cs="Arial"/>
          <w:lang w:val="fr-FR"/>
        </w:rPr>
        <w:t>assistance scolaire en tant que moyen permettant le maintien des enfants et adolescents autistes dans le cadre de l</w:t>
      </w:r>
      <w:r w:rsidRPr="00A86354" w:rsidR="0006032C">
        <w:rPr>
          <w:rFonts w:cs="Arial"/>
          <w:lang w:val="fr-FR"/>
        </w:rPr>
        <w:t>’</w:t>
      </w:r>
      <w:r w:rsidRPr="00A86354">
        <w:rPr>
          <w:rFonts w:cs="Arial"/>
          <w:lang w:val="fr-FR"/>
        </w:rPr>
        <w:t>école ordinaire</w:t>
      </w:r>
      <w:r w:rsidRPr="00A86354" w:rsidR="006D2292">
        <w:rPr>
          <w:rFonts w:cs="Arial"/>
          <w:lang w:val="fr-FR"/>
        </w:rPr>
        <w:t>.</w:t>
      </w:r>
      <w:r w:rsidRPr="00A86354" w:rsidR="0096102C">
        <w:rPr>
          <w:rFonts w:cs="Arial"/>
          <w:lang w:val="fr-FR"/>
        </w:rPr>
        <w:t xml:space="preserve"> </w:t>
      </w:r>
      <w:r w:rsidRPr="00A86354">
        <w:rPr>
          <w:rFonts w:cs="Arial"/>
          <w:lang w:val="fr-FR"/>
        </w:rPr>
        <w:t>Il a souligné que</w:t>
      </w:r>
      <w:r w:rsidRPr="00A86354" w:rsidR="0096102C">
        <w:rPr>
          <w:rFonts w:cs="Arial"/>
          <w:lang w:val="fr-FR"/>
        </w:rPr>
        <w:t xml:space="preserve"> </w:t>
      </w:r>
      <w:r w:rsidRPr="00A86354">
        <w:rPr>
          <w:rFonts w:cs="Arial"/>
          <w:lang w:val="fr-FR"/>
        </w:rPr>
        <w:t>le fait que l</w:t>
      </w:r>
      <w:r w:rsidRPr="00A86354" w:rsidR="0006032C">
        <w:rPr>
          <w:rFonts w:cs="Arial"/>
          <w:lang w:val="fr-FR"/>
        </w:rPr>
        <w:t>’</w:t>
      </w:r>
      <w:r w:rsidRPr="00A86354">
        <w:rPr>
          <w:rFonts w:cs="Arial"/>
          <w:lang w:val="fr-FR"/>
        </w:rPr>
        <w:t>État n</w:t>
      </w:r>
      <w:r w:rsidRPr="00A86354" w:rsidR="0006032C">
        <w:rPr>
          <w:rFonts w:cs="Arial"/>
          <w:lang w:val="fr-FR"/>
        </w:rPr>
        <w:t>’</w:t>
      </w:r>
      <w:r w:rsidRPr="00A86354">
        <w:rPr>
          <w:rFonts w:cs="Arial"/>
          <w:lang w:val="fr-FR"/>
        </w:rPr>
        <w:t>assure pas la continuité du service tout au long de la scolarité des enfants concernés est de nature à élever des barrières au parcours scolaire des enfants et adolescents autistes dans le cadre des écoles de droit commun et représente une dynamique de rejet de ces élèves en dehors de l</w:t>
      </w:r>
      <w:r w:rsidRPr="00A86354" w:rsidR="0006032C">
        <w:rPr>
          <w:rFonts w:cs="Arial"/>
          <w:lang w:val="fr-FR"/>
        </w:rPr>
        <w:t>’</w:t>
      </w:r>
      <w:r w:rsidRPr="00A86354">
        <w:rPr>
          <w:rFonts w:cs="Arial"/>
          <w:lang w:val="fr-FR"/>
        </w:rPr>
        <w:t xml:space="preserve">école ordinaire. </w:t>
      </w:r>
      <w:r w:rsidRPr="00A86354" w:rsidR="00E54F85">
        <w:rPr>
          <w:rFonts w:cs="Arial"/>
          <w:lang w:val="fr-FR"/>
        </w:rPr>
        <w:t>Il estime que ces</w:t>
      </w:r>
      <w:r w:rsidRPr="00A86354" w:rsidR="0096102C">
        <w:rPr>
          <w:rFonts w:cs="Arial"/>
          <w:lang w:val="fr-FR"/>
        </w:rPr>
        <w:t xml:space="preserve"> </w:t>
      </w:r>
      <w:r w:rsidRPr="00A86354" w:rsidR="00E54F85">
        <w:rPr>
          <w:rFonts w:cs="Arial"/>
          <w:lang w:val="fr-FR"/>
        </w:rPr>
        <w:t>considé</w:t>
      </w:r>
      <w:r w:rsidRPr="00A86354" w:rsidR="0096102C">
        <w:rPr>
          <w:rFonts w:cs="Arial"/>
          <w:lang w:val="fr-FR"/>
        </w:rPr>
        <w:t xml:space="preserve">rations </w:t>
      </w:r>
      <w:r w:rsidRPr="00A86354" w:rsidR="00F47BC9">
        <w:rPr>
          <w:rFonts w:cs="Arial"/>
          <w:lang w:val="fr-FR"/>
        </w:rPr>
        <w:t>ne se limitent pas à l</w:t>
      </w:r>
      <w:r w:rsidRPr="00A86354" w:rsidR="0006032C">
        <w:rPr>
          <w:rFonts w:cs="Arial"/>
          <w:lang w:val="fr-FR"/>
        </w:rPr>
        <w:t>’</w:t>
      </w:r>
      <w:r w:rsidRPr="00A86354" w:rsidR="00F47BC9">
        <w:rPr>
          <w:rFonts w:cs="Arial"/>
          <w:lang w:val="fr-FR"/>
        </w:rPr>
        <w:t xml:space="preserve">autisme et </w:t>
      </w:r>
      <w:r w:rsidRPr="00A86354" w:rsidR="00E54F85">
        <w:rPr>
          <w:rFonts w:cs="Arial"/>
          <w:lang w:val="fr-FR"/>
        </w:rPr>
        <w:t>sont valab</w:t>
      </w:r>
      <w:r w:rsidRPr="00A86354" w:rsidR="00F47BC9">
        <w:rPr>
          <w:rFonts w:cs="Arial"/>
          <w:lang w:val="fr-FR"/>
        </w:rPr>
        <w:t>les pour tous les handicaps</w:t>
      </w:r>
      <w:r w:rsidRPr="00A86354" w:rsidR="00E54F85">
        <w:rPr>
          <w:rFonts w:cs="Arial"/>
          <w:lang w:val="fr-FR"/>
        </w:rPr>
        <w:t>.</w:t>
      </w:r>
    </w:p>
    <w:p w:rsidRPr="00A86354" w:rsidR="008F0D0E" w:rsidP="008F0D0E" w:rsidRDefault="008F0D0E" w14:paraId="6E31A311" w14:textId="77777777">
      <w:pPr>
        <w:ind w:left="360" w:hanging="360"/>
        <w:rPr>
          <w:rFonts w:ascii="Arial" w:hAnsi="Arial" w:cs="Arial"/>
          <w:lang w:val="fr-FR"/>
        </w:rPr>
      </w:pPr>
    </w:p>
    <w:p w:rsidRPr="00A86354" w:rsidR="00F94C63" w:rsidP="00CE016A" w:rsidRDefault="00F47BC9" w14:paraId="2D0E808B" w14:textId="1F1122FB">
      <w:pPr>
        <w:pStyle w:val="ListParagraph"/>
        <w:numPr>
          <w:ilvl w:val="0"/>
          <w:numId w:val="1"/>
        </w:numPr>
        <w:ind w:left="0" w:firstLine="0"/>
        <w:rPr>
          <w:rFonts w:cs="Arial"/>
          <w:lang w:val="fr-FR"/>
        </w:rPr>
      </w:pPr>
      <w:r w:rsidRPr="00A86354">
        <w:rPr>
          <w:rFonts w:cs="Arial"/>
          <w:lang w:val="fr-FR"/>
        </w:rPr>
        <w:t>D</w:t>
      </w:r>
      <w:r w:rsidRPr="00A86354" w:rsidR="0006032C">
        <w:rPr>
          <w:rFonts w:cs="Arial"/>
          <w:lang w:val="fr-FR"/>
        </w:rPr>
        <w:t>’</w:t>
      </w:r>
      <w:r w:rsidRPr="00A86354">
        <w:rPr>
          <w:rFonts w:cs="Arial"/>
          <w:lang w:val="fr-FR"/>
        </w:rPr>
        <w:t>autres aménagements raisonnables que les personnes handicapées sont en droit d</w:t>
      </w:r>
      <w:r w:rsidRPr="00A86354" w:rsidR="0006032C">
        <w:rPr>
          <w:rFonts w:cs="Arial"/>
          <w:lang w:val="fr-FR"/>
        </w:rPr>
        <w:t>’</w:t>
      </w:r>
      <w:r w:rsidRPr="00A86354">
        <w:rPr>
          <w:rFonts w:cs="Arial"/>
          <w:lang w:val="fr-FR"/>
        </w:rPr>
        <w:t>attendre en vue d</w:t>
      </w:r>
      <w:r w:rsidRPr="00A86354" w:rsidR="0006032C">
        <w:rPr>
          <w:rFonts w:cs="Arial"/>
          <w:lang w:val="fr-FR"/>
        </w:rPr>
        <w:t>’</w:t>
      </w:r>
      <w:r w:rsidRPr="00A86354">
        <w:rPr>
          <w:rFonts w:cs="Arial"/>
          <w:lang w:val="fr-FR"/>
        </w:rPr>
        <w:t xml:space="preserve">accéder effectivement aux écoles et qui visent à corriger les inégalités factuelles peuvent </w:t>
      </w:r>
      <w:r w:rsidRPr="00A86354" w:rsidR="0023361A">
        <w:rPr>
          <w:rFonts w:cs="Arial"/>
          <w:lang w:val="fr-FR"/>
        </w:rPr>
        <w:t>notamment consister à adapter la</w:t>
      </w:r>
      <w:r w:rsidRPr="00A86354" w:rsidR="00024CB3">
        <w:rPr>
          <w:rFonts w:cs="Arial"/>
          <w:lang w:val="fr-FR"/>
        </w:rPr>
        <w:t xml:space="preserve"> class</w:t>
      </w:r>
      <w:r w:rsidRPr="00A86354" w:rsidR="0023361A">
        <w:rPr>
          <w:rFonts w:cs="Arial"/>
          <w:lang w:val="fr-FR"/>
        </w:rPr>
        <w:t>e et déménager la classe de local</w:t>
      </w:r>
      <w:r w:rsidRPr="00A86354" w:rsidR="001A3137">
        <w:rPr>
          <w:rFonts w:cs="Arial"/>
          <w:lang w:val="fr-FR"/>
        </w:rPr>
        <w:t xml:space="preserve">, </w:t>
      </w:r>
      <w:r w:rsidRPr="00A86354" w:rsidR="0023361A">
        <w:rPr>
          <w:rFonts w:cs="Arial"/>
          <w:lang w:val="fr-FR"/>
        </w:rPr>
        <w:t>à permettre différents types de communication et</w:t>
      </w:r>
      <w:r w:rsidRPr="00A86354" w:rsidR="001A3137">
        <w:rPr>
          <w:rFonts w:cs="Arial"/>
          <w:lang w:val="fr-FR"/>
        </w:rPr>
        <w:t xml:space="preserve"> </w:t>
      </w:r>
      <w:r w:rsidRPr="00A86354" w:rsidR="0023361A">
        <w:rPr>
          <w:rFonts w:cs="Arial"/>
          <w:lang w:val="fr-FR"/>
        </w:rPr>
        <w:t>matériels pédagogiques</w:t>
      </w:r>
      <w:r w:rsidRPr="00A86354" w:rsidR="00E37F4A">
        <w:rPr>
          <w:rFonts w:cs="Arial"/>
          <w:lang w:val="fr-FR"/>
        </w:rPr>
        <w:t xml:space="preserve"> ou à fournir</w:t>
      </w:r>
      <w:r w:rsidRPr="00A86354" w:rsidR="001A3137">
        <w:rPr>
          <w:rFonts w:cs="Arial"/>
          <w:lang w:val="fr-FR"/>
        </w:rPr>
        <w:t xml:space="preserve"> </w:t>
      </w:r>
      <w:r w:rsidRPr="00A86354" w:rsidR="00E37F4A">
        <w:rPr>
          <w:rFonts w:cs="Arial"/>
          <w:lang w:val="fr-FR"/>
        </w:rPr>
        <w:t>une technologie d</w:t>
      </w:r>
      <w:r w:rsidRPr="00A86354" w:rsidR="0006032C">
        <w:rPr>
          <w:rFonts w:cs="Arial"/>
          <w:lang w:val="fr-FR"/>
        </w:rPr>
        <w:t>’</w:t>
      </w:r>
      <w:r w:rsidRPr="00A86354" w:rsidR="00E37F4A">
        <w:rPr>
          <w:rFonts w:cs="Arial"/>
          <w:lang w:val="fr-FR"/>
        </w:rPr>
        <w:t>assistance pendant les cours ainsi qu</w:t>
      </w:r>
      <w:r w:rsidRPr="00A86354" w:rsidR="00766624">
        <w:rPr>
          <w:rFonts w:cs="Arial"/>
          <w:lang w:val="fr-FR"/>
        </w:rPr>
        <w:t>e</w:t>
      </w:r>
      <w:r w:rsidRPr="00A86354" w:rsidR="00E37F4A">
        <w:rPr>
          <w:rFonts w:cs="Arial"/>
          <w:lang w:val="fr-FR"/>
        </w:rPr>
        <w:t xml:space="preserve"> des aménagements</w:t>
      </w:r>
      <w:r w:rsidRPr="00A86354" w:rsidR="001A3137">
        <w:rPr>
          <w:rFonts w:cs="Arial"/>
          <w:lang w:val="fr-FR"/>
        </w:rPr>
        <w:t xml:space="preserve"> </w:t>
      </w:r>
      <w:r w:rsidRPr="00A86354" w:rsidR="00E37F4A">
        <w:rPr>
          <w:rFonts w:cs="Arial"/>
          <w:lang w:val="fr-FR"/>
        </w:rPr>
        <w:t>autres que matériels, par exemple d</w:t>
      </w:r>
      <w:r w:rsidRPr="00A86354" w:rsidR="0006032C">
        <w:rPr>
          <w:rFonts w:cs="Arial"/>
          <w:lang w:val="fr-FR"/>
        </w:rPr>
        <w:t>’</w:t>
      </w:r>
      <w:r w:rsidRPr="00A86354" w:rsidR="00E37F4A">
        <w:rPr>
          <w:rFonts w:cs="Arial"/>
          <w:lang w:val="fr-FR"/>
        </w:rPr>
        <w:t xml:space="preserve">accorder davantage de temps à un élève, de réduire le niveau du bruit de fond, ou de remplacer un volet du programme par un autre </w:t>
      </w:r>
      <w:r w:rsidRPr="00A86354" w:rsidR="00F94C63">
        <w:rPr>
          <w:rFonts w:cs="Arial"/>
          <w:lang w:val="fr-FR"/>
        </w:rPr>
        <w:t>(</w:t>
      </w:r>
      <w:r w:rsidRPr="00A86354" w:rsidR="00E37F4A">
        <w:rPr>
          <w:rFonts w:cs="Arial"/>
          <w:lang w:val="fr-FR"/>
        </w:rPr>
        <w:t>voir, par exemple</w:t>
      </w:r>
      <w:r w:rsidRPr="00A86354" w:rsidR="00F94C63">
        <w:rPr>
          <w:rFonts w:cs="Arial"/>
          <w:lang w:val="fr-FR"/>
        </w:rPr>
        <w:t>, Conclusions 2020, Andorr</w:t>
      </w:r>
      <w:r w:rsidRPr="00A86354" w:rsidR="00E37F4A">
        <w:rPr>
          <w:rFonts w:cs="Arial"/>
          <w:lang w:val="fr-FR"/>
        </w:rPr>
        <w:t>e</w:t>
      </w:r>
      <w:r w:rsidRPr="00A86354" w:rsidR="00F94C63">
        <w:rPr>
          <w:rFonts w:cs="Arial"/>
          <w:lang w:val="fr-FR"/>
        </w:rPr>
        <w:t xml:space="preserve">). </w:t>
      </w:r>
    </w:p>
    <w:p w:rsidRPr="00A86354" w:rsidR="00F94C63" w:rsidP="00C25D8F" w:rsidRDefault="00F94C63" w14:paraId="206623EC" w14:textId="77777777">
      <w:pPr>
        <w:pStyle w:val="ListParagraph"/>
        <w:rPr>
          <w:rFonts w:cs="Arial"/>
          <w:lang w:val="fr-FR"/>
        </w:rPr>
      </w:pPr>
    </w:p>
    <w:p w:rsidRPr="00A86354" w:rsidR="00C25D8F" w:rsidP="00CE016A" w:rsidRDefault="00C25D8F" w14:paraId="1E7BA965" w14:textId="1A1E1BE6">
      <w:pPr>
        <w:numPr>
          <w:ilvl w:val="0"/>
          <w:numId w:val="1"/>
        </w:numPr>
        <w:ind w:left="0" w:firstLine="0"/>
        <w:rPr>
          <w:rFonts w:ascii="Arial" w:hAnsi="Arial" w:cs="Arial"/>
          <w:lang w:val="fr-FR"/>
        </w:rPr>
      </w:pPr>
      <w:r w:rsidRPr="00A86354">
        <w:rPr>
          <w:rFonts w:ascii="Arial" w:hAnsi="Arial" w:cs="Arial"/>
          <w:lang w:val="fr-FR"/>
        </w:rPr>
        <w:t xml:space="preserve">Pour évaluer l'accès effectif des enfants handicapés à l'éducation, le Comité prend en compte une série d'indicateurs, notamment le nombre d'enfants handicapés (y compris par rapport au nombre total d'enfants d'âge scolaire), le nombre et la proportion d'enfants handicapés scolarisés dans des classes ordinaires, des unités spéciales au sein d'écoles ordinaires et des écoles spéciales ; le nombre et la proportion d'enfants handicapés non scolarisés ; le nombre d'enfants handicapés qui ne terminent pas l'école obligatoire ; le nombre et la proportion d'enfants handicapés bénéficiant d'autres types d'enseignement (enseignement à domicile, école à temps partiel, enseignement dans des institutions de soins résidentiels) et le taux d'abandon scolaire des enfants handicapés par rapport à l'ensemble de la population scolaire (Conclusions 2020, Autriche, article 15§1). </w:t>
      </w:r>
    </w:p>
    <w:p w:rsidRPr="00A86354" w:rsidR="008F0D0E" w:rsidP="008F0D0E" w:rsidRDefault="008F0D0E" w14:paraId="2A136F0F" w14:textId="77777777">
      <w:pPr>
        <w:ind w:left="360" w:hanging="360"/>
        <w:rPr>
          <w:rFonts w:ascii="Arial" w:hAnsi="Arial" w:cs="Arial"/>
          <w:lang w:val="fr-FR"/>
        </w:rPr>
      </w:pPr>
    </w:p>
    <w:p w:rsidRPr="00A86354" w:rsidR="00C25D8F" w:rsidP="00CE016A" w:rsidRDefault="00C25D8F" w14:paraId="1BD03ADC" w14:textId="5EA2F9DE">
      <w:pPr>
        <w:numPr>
          <w:ilvl w:val="0"/>
          <w:numId w:val="1"/>
        </w:numPr>
        <w:ind w:left="0" w:firstLine="0"/>
        <w:rPr>
          <w:rFonts w:ascii="Arial" w:hAnsi="Arial" w:cs="Arial"/>
          <w:lang w:val="fr-FR"/>
        </w:rPr>
      </w:pPr>
      <w:r w:rsidRPr="00A86354">
        <w:rPr>
          <w:rFonts w:ascii="Arial" w:hAnsi="Arial" w:cs="Arial"/>
          <w:lang w:val="fr-FR"/>
        </w:rPr>
        <w:t xml:space="preserve">En ce qui concerne la jouissance des droits protégés par l'article 15§1 en France, le Comité renvoie à sa décision de 2013 sur le bien-fondé de AEH c. </w:t>
      </w:r>
      <w:r w:rsidRPr="00A86354" w:rsidR="00E96536">
        <w:rPr>
          <w:rFonts w:ascii="Arial" w:hAnsi="Arial" w:cs="Arial"/>
          <w:lang w:val="fr-FR"/>
        </w:rPr>
        <w:t xml:space="preserve">France, réclamation n° 81/2012 </w:t>
      </w:r>
      <w:r w:rsidRPr="00A86354">
        <w:rPr>
          <w:rFonts w:ascii="Arial" w:hAnsi="Arial" w:cs="Arial"/>
          <w:lang w:val="fr-FR"/>
        </w:rPr>
        <w:t>(</w:t>
      </w:r>
      <w:r w:rsidRPr="00A86354">
        <w:rPr>
          <w:rFonts w:ascii="Arial" w:hAnsi="Arial" w:cs="Arial"/>
          <w:i/>
          <w:iCs/>
          <w:lang w:val="fr-FR"/>
        </w:rPr>
        <w:t xml:space="preserve">op. cit. , </w:t>
      </w:r>
      <w:r w:rsidRPr="00A86354" w:rsidR="00E627A9">
        <w:rPr>
          <w:rFonts w:ascii="Arial" w:hAnsi="Arial" w:cs="Arial"/>
          <w:lang w:val="fr-FR"/>
        </w:rPr>
        <w:t xml:space="preserve">paragraphes </w:t>
      </w:r>
      <w:r w:rsidRPr="00A86354">
        <w:rPr>
          <w:rFonts w:ascii="Arial" w:hAnsi="Arial" w:cs="Arial"/>
          <w:lang w:val="fr-FR"/>
        </w:rPr>
        <w:t>100, 109 et 121), où il a constaté une violation de l'article 15§1 en ce qui concerne, entre autres</w:t>
      </w:r>
      <w:r w:rsidRPr="00A86354">
        <w:rPr>
          <w:rFonts w:ascii="Arial" w:hAnsi="Arial" w:cs="Arial"/>
          <w:i/>
          <w:iCs/>
          <w:lang w:val="fr-FR"/>
        </w:rPr>
        <w:t xml:space="preserve">, </w:t>
      </w:r>
      <w:r w:rsidRPr="00A86354">
        <w:rPr>
          <w:rFonts w:ascii="Arial" w:hAnsi="Arial" w:cs="Arial"/>
          <w:lang w:val="fr-FR"/>
        </w:rPr>
        <w:t xml:space="preserve">le droit des enfants et adolescents autistes à être scolarisés prioritairement en milieu ordinaire. </w:t>
      </w:r>
    </w:p>
    <w:p w:rsidRPr="00A86354" w:rsidR="008F0D0E" w:rsidP="008F0D0E" w:rsidRDefault="008F0D0E" w14:paraId="6C93C079" w14:textId="77777777">
      <w:pPr>
        <w:ind w:left="360" w:hanging="360"/>
        <w:rPr>
          <w:rFonts w:ascii="Arial" w:hAnsi="Arial" w:cs="Arial"/>
          <w:lang w:val="fr-FR"/>
        </w:rPr>
      </w:pPr>
    </w:p>
    <w:p w:rsidRPr="00A86354" w:rsidR="00591FBA" w:rsidP="00CE016A" w:rsidRDefault="005E18F6" w14:paraId="2D28E85D" w14:textId="0C589552">
      <w:pPr>
        <w:pStyle w:val="ListParagraph"/>
        <w:numPr>
          <w:ilvl w:val="0"/>
          <w:numId w:val="1"/>
        </w:numPr>
        <w:ind w:left="0" w:firstLine="0"/>
        <w:rPr>
          <w:rFonts w:cs="Arial"/>
          <w:lang w:val="fr-FR"/>
        </w:rPr>
      </w:pPr>
      <w:r w:rsidRPr="00A86354">
        <w:rPr>
          <w:rFonts w:cs="Arial"/>
          <w:lang w:val="fr-FR"/>
        </w:rPr>
        <w:t xml:space="preserve">Le Comité a </w:t>
      </w:r>
      <w:r w:rsidRPr="00A86354" w:rsidR="00591FBA">
        <w:rPr>
          <w:rFonts w:cs="Arial"/>
          <w:lang w:val="fr-FR"/>
        </w:rPr>
        <w:t>adopt</w:t>
      </w:r>
      <w:r w:rsidRPr="00A86354">
        <w:rPr>
          <w:rFonts w:cs="Arial"/>
          <w:lang w:val="fr-FR"/>
        </w:rPr>
        <w:t>é quatre</w:t>
      </w:r>
      <w:r w:rsidRPr="00A86354" w:rsidR="00591FBA">
        <w:rPr>
          <w:rFonts w:cs="Arial"/>
          <w:lang w:val="fr-FR"/>
        </w:rPr>
        <w:t xml:space="preserve"> </w:t>
      </w:r>
      <w:r w:rsidRPr="00A86354">
        <w:rPr>
          <w:rFonts w:cs="Arial"/>
          <w:lang w:val="fr-FR"/>
        </w:rPr>
        <w:t>constats dans le cadre du suivi de la décision du Comité sur le bien-fondé dans l</w:t>
      </w:r>
      <w:r w:rsidRPr="00A86354" w:rsidR="0006032C">
        <w:rPr>
          <w:rFonts w:cs="Arial"/>
          <w:lang w:val="fr-FR"/>
        </w:rPr>
        <w:t>’</w:t>
      </w:r>
      <w:r w:rsidRPr="00A86354">
        <w:rPr>
          <w:rFonts w:cs="Arial"/>
          <w:lang w:val="fr-FR"/>
        </w:rPr>
        <w:t xml:space="preserve">affaire AEH c. </w:t>
      </w:r>
      <w:r w:rsidRPr="00A86354" w:rsidR="00E96536">
        <w:rPr>
          <w:rFonts w:cs="Arial"/>
          <w:lang w:val="fr-FR"/>
        </w:rPr>
        <w:t>France, réclamation n° 81/2012</w:t>
      </w:r>
      <w:r w:rsidRPr="00A86354" w:rsidR="00591FBA">
        <w:rPr>
          <w:rFonts w:cs="Arial"/>
          <w:lang w:val="fr-FR"/>
        </w:rPr>
        <w:t xml:space="preserve">. </w:t>
      </w:r>
      <w:r w:rsidRPr="00A86354">
        <w:rPr>
          <w:rFonts w:cs="Arial"/>
          <w:lang w:val="fr-FR"/>
        </w:rPr>
        <w:t>Dans sa quatrième évaluation</w:t>
      </w:r>
      <w:r w:rsidRPr="00A86354" w:rsidR="00591FBA">
        <w:rPr>
          <w:rFonts w:cs="Arial"/>
          <w:lang w:val="fr-FR"/>
        </w:rPr>
        <w:t xml:space="preserve"> (</w:t>
      </w:r>
      <w:r w:rsidRPr="00A86354">
        <w:rPr>
          <w:rFonts w:cs="Arial"/>
          <w:lang w:val="fr-FR"/>
        </w:rPr>
        <w:t>Constats</w:t>
      </w:r>
      <w:r w:rsidRPr="00A86354" w:rsidR="00031A3C">
        <w:rPr>
          <w:rFonts w:cs="Arial"/>
          <w:lang w:val="fr-FR"/>
        </w:rPr>
        <w:t xml:space="preserve"> </w:t>
      </w:r>
      <w:r w:rsidRPr="00A86354" w:rsidR="00377F2D">
        <w:rPr>
          <w:rFonts w:cs="Arial"/>
          <w:lang w:val="fr-FR"/>
        </w:rPr>
        <w:t xml:space="preserve">2021), </w:t>
      </w:r>
      <w:r w:rsidRPr="00A86354">
        <w:rPr>
          <w:rFonts w:cs="Arial"/>
          <w:lang w:val="fr-FR"/>
        </w:rPr>
        <w:t>il a estimé que la</w:t>
      </w:r>
      <w:r w:rsidRPr="00A86354" w:rsidR="00E95E90">
        <w:rPr>
          <w:rFonts w:cs="Arial"/>
          <w:lang w:val="fr-FR"/>
        </w:rPr>
        <w:t xml:space="preserve"> situation </w:t>
      </w:r>
      <w:r w:rsidRPr="00A86354">
        <w:rPr>
          <w:rFonts w:cs="Arial"/>
          <w:lang w:val="fr-FR"/>
        </w:rPr>
        <w:t>n</w:t>
      </w:r>
      <w:r w:rsidRPr="00A86354" w:rsidR="0006032C">
        <w:rPr>
          <w:rFonts w:cs="Arial"/>
          <w:lang w:val="fr-FR"/>
        </w:rPr>
        <w:t>’</w:t>
      </w:r>
      <w:r w:rsidRPr="00A86354">
        <w:rPr>
          <w:rFonts w:cs="Arial"/>
          <w:lang w:val="fr-FR"/>
        </w:rPr>
        <w:t>avait pas encore été rendue conforme à la</w:t>
      </w:r>
      <w:r w:rsidRPr="00A86354" w:rsidR="00E95E90">
        <w:rPr>
          <w:rFonts w:cs="Arial"/>
          <w:lang w:val="fr-FR"/>
        </w:rPr>
        <w:t xml:space="preserve"> </w:t>
      </w:r>
      <w:r w:rsidRPr="00A86354">
        <w:rPr>
          <w:rFonts w:cs="Arial"/>
          <w:lang w:val="fr-FR"/>
        </w:rPr>
        <w:t>Charte</w:t>
      </w:r>
      <w:r w:rsidRPr="00A86354" w:rsidR="00E95E90">
        <w:rPr>
          <w:rFonts w:cs="Arial"/>
          <w:lang w:val="fr-FR"/>
        </w:rPr>
        <w:t xml:space="preserve"> </w:t>
      </w:r>
      <w:r w:rsidRPr="00A86354" w:rsidR="00A75542">
        <w:rPr>
          <w:rFonts w:cs="Arial"/>
          <w:lang w:val="fr-FR"/>
        </w:rPr>
        <w:t>à la fois concernant la</w:t>
      </w:r>
      <w:r w:rsidRPr="00A86354" w:rsidR="00E95E90">
        <w:rPr>
          <w:rFonts w:cs="Arial"/>
          <w:lang w:val="fr-FR"/>
        </w:rPr>
        <w:t xml:space="preserve"> proportion </w:t>
      </w:r>
      <w:r w:rsidRPr="00A86354" w:rsidR="00A75542">
        <w:rPr>
          <w:rFonts w:cs="Arial"/>
          <w:lang w:val="fr-FR"/>
        </w:rPr>
        <w:t>d</w:t>
      </w:r>
      <w:r w:rsidRPr="00A86354" w:rsidR="0006032C">
        <w:rPr>
          <w:rFonts w:cs="Arial"/>
          <w:lang w:val="fr-FR"/>
        </w:rPr>
        <w:t>’</w:t>
      </w:r>
      <w:r w:rsidRPr="00A86354" w:rsidR="00A75542">
        <w:rPr>
          <w:rFonts w:cs="Arial"/>
          <w:lang w:val="fr-FR"/>
        </w:rPr>
        <w:t>enfants autistes scolarisés dans les établissements</w:t>
      </w:r>
      <w:r w:rsidRPr="00A86354" w:rsidR="00E95E90">
        <w:rPr>
          <w:rFonts w:cs="Arial"/>
          <w:lang w:val="fr-FR"/>
        </w:rPr>
        <w:t xml:space="preserve"> </w:t>
      </w:r>
      <w:r w:rsidRPr="00A86354" w:rsidR="00A75542">
        <w:rPr>
          <w:rFonts w:cs="Arial"/>
          <w:lang w:val="fr-FR"/>
        </w:rPr>
        <w:t>ordinaires et concernant le nombre</w:t>
      </w:r>
      <w:r w:rsidRPr="00A86354" w:rsidR="00E95E90">
        <w:rPr>
          <w:rFonts w:cs="Arial"/>
          <w:lang w:val="fr-FR"/>
        </w:rPr>
        <w:t xml:space="preserve"> </w:t>
      </w:r>
      <w:r w:rsidRPr="00A86354" w:rsidR="00A75542">
        <w:rPr>
          <w:rFonts w:cs="Arial"/>
          <w:lang w:val="fr-FR"/>
        </w:rPr>
        <w:t>de structures d</w:t>
      </w:r>
      <w:r w:rsidRPr="00A86354" w:rsidR="0006032C">
        <w:rPr>
          <w:rFonts w:cs="Arial"/>
          <w:lang w:val="fr-FR"/>
        </w:rPr>
        <w:t>’</w:t>
      </w:r>
      <w:r w:rsidRPr="00A86354" w:rsidR="00A75542">
        <w:rPr>
          <w:rFonts w:cs="Arial"/>
          <w:lang w:val="fr-FR"/>
        </w:rPr>
        <w:t>accueil ou d</w:t>
      </w:r>
      <w:r w:rsidRPr="00A86354" w:rsidR="0006032C">
        <w:rPr>
          <w:rFonts w:cs="Arial"/>
          <w:lang w:val="fr-FR"/>
        </w:rPr>
        <w:t>’</w:t>
      </w:r>
      <w:r w:rsidRPr="00A86354" w:rsidR="00A75542">
        <w:rPr>
          <w:rFonts w:cs="Arial"/>
          <w:lang w:val="fr-FR"/>
        </w:rPr>
        <w:t xml:space="preserve">appui pour </w:t>
      </w:r>
      <w:r w:rsidRPr="00A86354" w:rsidR="00D3290C">
        <w:rPr>
          <w:rFonts w:cs="Arial"/>
          <w:lang w:val="fr-FR"/>
        </w:rPr>
        <w:t>autistes</w:t>
      </w:r>
      <w:r w:rsidRPr="00A86354" w:rsidR="00A75542">
        <w:rPr>
          <w:rFonts w:cs="Arial"/>
          <w:lang w:val="fr-FR"/>
        </w:rPr>
        <w:t xml:space="preserve"> adultes.</w:t>
      </w:r>
      <w:r w:rsidRPr="00A86354" w:rsidR="00591FBA">
        <w:rPr>
          <w:rFonts w:cs="Arial"/>
          <w:lang w:val="fr-FR"/>
        </w:rPr>
        <w:t xml:space="preserve"> </w:t>
      </w:r>
    </w:p>
    <w:p w:rsidRPr="00A86354" w:rsidR="008F0D0E" w:rsidP="008F0D0E" w:rsidRDefault="008F0D0E" w14:paraId="6E4B5C1C" w14:textId="77777777">
      <w:pPr>
        <w:ind w:left="360" w:hanging="360"/>
        <w:rPr>
          <w:rFonts w:ascii="Arial" w:hAnsi="Arial" w:cs="Arial"/>
          <w:lang w:val="fr-FR"/>
        </w:rPr>
      </w:pPr>
    </w:p>
    <w:p w:rsidRPr="00A86354" w:rsidR="00A901F5" w:rsidP="00CE016A" w:rsidRDefault="00E97244" w14:paraId="542DEA45" w14:textId="7D348133">
      <w:pPr>
        <w:pStyle w:val="ListParagraph"/>
        <w:numPr>
          <w:ilvl w:val="0"/>
          <w:numId w:val="1"/>
        </w:numPr>
        <w:ind w:left="0" w:firstLine="0"/>
        <w:rPr>
          <w:rFonts w:cs="Arial"/>
          <w:lang w:val="fr-FR"/>
        </w:rPr>
      </w:pPr>
      <w:r w:rsidRPr="00A86354">
        <w:rPr>
          <w:rFonts w:cs="Arial"/>
          <w:lang w:val="fr-FR"/>
        </w:rPr>
        <w:lastRenderedPageBreak/>
        <w:t>Le Comité note</w:t>
      </w:r>
      <w:r w:rsidRPr="00A86354" w:rsidR="00CD3123">
        <w:rPr>
          <w:rFonts w:cs="Arial"/>
          <w:lang w:val="fr-FR"/>
        </w:rPr>
        <w:t xml:space="preserve"> </w:t>
      </w:r>
      <w:r w:rsidRPr="00A86354" w:rsidR="00377F2D">
        <w:rPr>
          <w:rFonts w:cs="Arial"/>
          <w:lang w:val="fr-FR"/>
        </w:rPr>
        <w:t>que, selon les</w:t>
      </w:r>
      <w:r w:rsidRPr="00A86354">
        <w:rPr>
          <w:rFonts w:cs="Arial"/>
          <w:lang w:val="fr-FR"/>
        </w:rPr>
        <w:t xml:space="preserve"> organisations réclamantes</w:t>
      </w:r>
      <w:r w:rsidRPr="00A86354" w:rsidR="00CD3123">
        <w:rPr>
          <w:rFonts w:cs="Arial"/>
          <w:lang w:val="fr-FR"/>
        </w:rPr>
        <w:t xml:space="preserve">, </w:t>
      </w:r>
      <w:r w:rsidRPr="00A86354" w:rsidR="00E9403B">
        <w:rPr>
          <w:rFonts w:cs="Arial"/>
          <w:lang w:val="fr-FR"/>
        </w:rPr>
        <w:t>les mesures prises jusqu</w:t>
      </w:r>
      <w:r w:rsidRPr="00A86354" w:rsidR="0006032C">
        <w:rPr>
          <w:rFonts w:cs="Arial"/>
          <w:lang w:val="fr-FR"/>
        </w:rPr>
        <w:t>’</w:t>
      </w:r>
      <w:r w:rsidRPr="00A86354" w:rsidR="00E9403B">
        <w:rPr>
          <w:rFonts w:cs="Arial"/>
          <w:lang w:val="fr-FR"/>
        </w:rPr>
        <w:t>à présent par la France afin d</w:t>
      </w:r>
      <w:r w:rsidRPr="00A86354" w:rsidR="0006032C">
        <w:rPr>
          <w:rFonts w:cs="Arial"/>
          <w:lang w:val="fr-FR"/>
        </w:rPr>
        <w:t>’</w:t>
      </w:r>
      <w:r w:rsidRPr="00A86354" w:rsidR="00E9403B">
        <w:rPr>
          <w:rFonts w:cs="Arial"/>
          <w:lang w:val="fr-FR"/>
        </w:rPr>
        <w:t>assurer l</w:t>
      </w:r>
      <w:r w:rsidRPr="00A86354" w:rsidR="0006032C">
        <w:rPr>
          <w:rFonts w:cs="Arial"/>
          <w:lang w:val="fr-FR"/>
        </w:rPr>
        <w:t>’</w:t>
      </w:r>
      <w:r w:rsidRPr="00A86354" w:rsidR="00E9403B">
        <w:rPr>
          <w:rFonts w:cs="Arial"/>
          <w:lang w:val="fr-FR"/>
        </w:rPr>
        <w:t>accès des enfants handicapés à l</w:t>
      </w:r>
      <w:r w:rsidRPr="00A86354" w:rsidR="0006032C">
        <w:rPr>
          <w:rFonts w:cs="Arial"/>
          <w:lang w:val="fr-FR"/>
        </w:rPr>
        <w:t>’</w:t>
      </w:r>
      <w:r w:rsidRPr="00A86354" w:rsidR="00E9403B">
        <w:rPr>
          <w:rFonts w:cs="Arial"/>
          <w:lang w:val="fr-FR"/>
        </w:rPr>
        <w:t xml:space="preserve">éducation sont inefficaces dans la pratique et constituent une violation </w:t>
      </w:r>
      <w:r w:rsidRPr="00A86354" w:rsidR="009A1D49">
        <w:rPr>
          <w:rFonts w:cs="Arial"/>
          <w:lang w:val="fr-FR"/>
        </w:rPr>
        <w:t>par l</w:t>
      </w:r>
      <w:r w:rsidRPr="00A86354" w:rsidR="0006032C">
        <w:rPr>
          <w:rFonts w:cs="Arial"/>
          <w:lang w:val="fr-FR"/>
        </w:rPr>
        <w:t>’</w:t>
      </w:r>
      <w:r w:rsidRPr="00A86354" w:rsidR="009A1D49">
        <w:rPr>
          <w:rFonts w:cs="Arial"/>
          <w:lang w:val="fr-FR"/>
        </w:rPr>
        <w:t xml:space="preserve">État défendeur </w:t>
      </w:r>
      <w:r w:rsidRPr="00A86354" w:rsidR="00E9403B">
        <w:rPr>
          <w:rFonts w:cs="Arial"/>
          <w:lang w:val="fr-FR"/>
        </w:rPr>
        <w:t>de son engagement à fournir aux personnes handicapées une orientation, une éducation dans le cadre du droit c</w:t>
      </w:r>
      <w:r w:rsidRPr="00A86354" w:rsidR="0060405A">
        <w:rPr>
          <w:rFonts w:cs="Arial"/>
          <w:lang w:val="fr-FR"/>
        </w:rPr>
        <w:t>ommun chaque fois que possible</w:t>
      </w:r>
      <w:r w:rsidRPr="00A86354" w:rsidR="00CD3123">
        <w:rPr>
          <w:rFonts w:cs="Arial"/>
          <w:lang w:val="fr-FR"/>
        </w:rPr>
        <w:t>.</w:t>
      </w:r>
      <w:r w:rsidRPr="00A86354" w:rsidR="0060405A">
        <w:rPr>
          <w:rFonts w:cs="Arial"/>
          <w:lang w:val="fr-FR"/>
        </w:rPr>
        <w:t xml:space="preserve"> L</w:t>
      </w:r>
      <w:r w:rsidRPr="00A86354" w:rsidR="00720F53">
        <w:rPr>
          <w:rFonts w:cs="Arial"/>
          <w:lang w:val="fr-FR"/>
        </w:rPr>
        <w:t>e Com</w:t>
      </w:r>
      <w:r w:rsidRPr="00A86354" w:rsidR="0060405A">
        <w:rPr>
          <w:rFonts w:cs="Arial"/>
          <w:lang w:val="fr-FR"/>
        </w:rPr>
        <w:t>ité relève en particulier les allégations suivantes</w:t>
      </w:r>
      <w:r w:rsidRPr="00A86354" w:rsidR="00A96C10">
        <w:rPr>
          <w:rFonts w:cs="Arial"/>
          <w:lang w:val="fr-FR"/>
        </w:rPr>
        <w:t xml:space="preserve"> (</w:t>
      </w:r>
      <w:r w:rsidRPr="00A86354" w:rsidR="0060405A">
        <w:rPr>
          <w:rFonts w:cs="Arial"/>
          <w:lang w:val="fr-FR"/>
        </w:rPr>
        <w:t>voir</w:t>
      </w:r>
      <w:r w:rsidRPr="00A86354" w:rsidR="00A96C10">
        <w:rPr>
          <w:rFonts w:cs="Arial"/>
          <w:lang w:val="fr-FR"/>
        </w:rPr>
        <w:t xml:space="preserve"> </w:t>
      </w:r>
      <w:r w:rsidRPr="00A86354" w:rsidR="003C7D81">
        <w:rPr>
          <w:rFonts w:cs="Arial"/>
          <w:lang w:val="fr-FR"/>
        </w:rPr>
        <w:t xml:space="preserve">plus haut </w:t>
      </w:r>
      <w:r w:rsidR="008532B8">
        <w:rPr>
          <w:rFonts w:cs="Arial"/>
          <w:lang w:val="fr-FR"/>
        </w:rPr>
        <w:t>par.</w:t>
      </w:r>
      <w:r w:rsidRPr="00A86354" w:rsidR="00C25D8F">
        <w:rPr>
          <w:rFonts w:cs="Arial"/>
          <w:lang w:val="fr-FR"/>
        </w:rPr>
        <w:t xml:space="preserve"> 23</w:t>
      </w:r>
      <w:r w:rsidR="003E6AC0">
        <w:rPr>
          <w:rFonts w:cs="Arial"/>
          <w:lang w:val="fr-FR"/>
        </w:rPr>
        <w:t>4</w:t>
      </w:r>
      <w:r w:rsidRPr="00A86354" w:rsidR="00C25D8F">
        <w:rPr>
          <w:rFonts w:cs="Arial"/>
          <w:lang w:val="fr-FR"/>
        </w:rPr>
        <w:t xml:space="preserve"> </w:t>
      </w:r>
      <w:r w:rsidRPr="00A86354" w:rsidR="00C25D8F">
        <w:rPr>
          <w:rFonts w:cs="Arial"/>
          <w:i/>
          <w:iCs/>
          <w:lang w:val="fr-FR"/>
        </w:rPr>
        <w:t xml:space="preserve">et </w:t>
      </w:r>
      <w:proofErr w:type="spellStart"/>
      <w:r w:rsidRPr="00A86354" w:rsidR="00C25D8F">
        <w:rPr>
          <w:rFonts w:cs="Arial"/>
          <w:i/>
          <w:iCs/>
          <w:lang w:val="fr-FR"/>
        </w:rPr>
        <w:t>seq</w:t>
      </w:r>
      <w:proofErr w:type="spellEnd"/>
      <w:r w:rsidRPr="00A86354" w:rsidR="00C25D8F">
        <w:rPr>
          <w:rFonts w:cs="Arial"/>
          <w:i/>
          <w:iCs/>
          <w:lang w:val="fr-FR"/>
        </w:rPr>
        <w:t>.</w:t>
      </w:r>
      <w:r w:rsidRPr="00A86354" w:rsidR="00A96C10">
        <w:rPr>
          <w:rFonts w:cs="Arial"/>
          <w:i/>
          <w:iCs/>
          <w:lang w:val="fr-FR"/>
        </w:rPr>
        <w:t>)</w:t>
      </w:r>
      <w:r w:rsidRPr="00A86354" w:rsidR="000807D5">
        <w:rPr>
          <w:rFonts w:cs="Arial"/>
          <w:lang w:val="fr-FR"/>
        </w:rPr>
        <w:t> :</w:t>
      </w:r>
    </w:p>
    <w:p w:rsidRPr="00A86354" w:rsidR="00A901F5" w:rsidP="00A901F5" w:rsidRDefault="00A901F5" w14:paraId="00813C93" w14:textId="77777777">
      <w:pPr>
        <w:pStyle w:val="ListParagraph"/>
        <w:ind w:left="360"/>
        <w:rPr>
          <w:rFonts w:cs="Arial"/>
          <w:lang w:val="fr-FR"/>
        </w:rPr>
      </w:pPr>
    </w:p>
    <w:p w:rsidRPr="00A86354" w:rsidR="00A901F5" w:rsidP="00CE016A" w:rsidRDefault="00F365F6" w14:paraId="26FEA095" w14:textId="375FB65B">
      <w:pPr>
        <w:pStyle w:val="ListParagraph"/>
        <w:numPr>
          <w:ilvl w:val="0"/>
          <w:numId w:val="2"/>
        </w:numPr>
        <w:rPr>
          <w:rFonts w:cs="Arial"/>
          <w:sz w:val="20"/>
          <w:szCs w:val="20"/>
          <w:lang w:val="fr-FR"/>
        </w:rPr>
      </w:pPr>
      <w:r w:rsidRPr="00A86354">
        <w:rPr>
          <w:rFonts w:cs="Arial"/>
          <w:sz w:val="20"/>
          <w:szCs w:val="20"/>
          <w:lang w:val="fr-FR"/>
        </w:rPr>
        <w:t xml:space="preserve">de très nombreux enfants handicapés ne sont pas scolarisés, </w:t>
      </w:r>
      <w:r w:rsidRPr="00A86354" w:rsidR="00766624">
        <w:rPr>
          <w:rFonts w:cs="Arial"/>
          <w:sz w:val="20"/>
          <w:szCs w:val="20"/>
          <w:lang w:val="fr-FR"/>
        </w:rPr>
        <w:t xml:space="preserve">ou </w:t>
      </w:r>
      <w:r w:rsidRPr="00A86354">
        <w:rPr>
          <w:rFonts w:cs="Arial"/>
          <w:sz w:val="20"/>
          <w:szCs w:val="20"/>
          <w:lang w:val="fr-FR"/>
        </w:rPr>
        <w:t>le sont dans des conditions inadaptées ou à temps partiel</w:t>
      </w:r>
      <w:r w:rsidRPr="00A86354" w:rsidR="000807D5">
        <w:rPr>
          <w:rFonts w:cs="Arial"/>
          <w:sz w:val="20"/>
          <w:szCs w:val="20"/>
          <w:lang w:val="fr-FR"/>
        </w:rPr>
        <w:t> ;</w:t>
      </w:r>
    </w:p>
    <w:p w:rsidRPr="00A86354" w:rsidR="00720F53" w:rsidP="00CE016A" w:rsidRDefault="00F365F6" w14:paraId="185F4C7A" w14:textId="298EFAF6">
      <w:pPr>
        <w:pStyle w:val="ListParagraph"/>
        <w:numPr>
          <w:ilvl w:val="0"/>
          <w:numId w:val="2"/>
        </w:numPr>
        <w:rPr>
          <w:rFonts w:cs="Arial"/>
          <w:sz w:val="20"/>
          <w:szCs w:val="20"/>
          <w:lang w:val="fr-FR"/>
        </w:rPr>
      </w:pPr>
      <w:r w:rsidRPr="00A86354">
        <w:rPr>
          <w:rFonts w:cs="Arial"/>
          <w:sz w:val="20"/>
          <w:szCs w:val="20"/>
          <w:lang w:val="fr-FR"/>
        </w:rPr>
        <w:t>les mesures prises jusqu</w:t>
      </w:r>
      <w:r w:rsidRPr="00A86354" w:rsidR="0006032C">
        <w:rPr>
          <w:rFonts w:cs="Arial"/>
          <w:sz w:val="20"/>
          <w:szCs w:val="20"/>
          <w:lang w:val="fr-FR"/>
        </w:rPr>
        <w:t>’</w:t>
      </w:r>
      <w:r w:rsidRPr="00A86354">
        <w:rPr>
          <w:rFonts w:cs="Arial"/>
          <w:sz w:val="20"/>
          <w:szCs w:val="20"/>
          <w:lang w:val="fr-FR"/>
        </w:rPr>
        <w:t>à présent pour améliorer les conditions de travail des AESH</w:t>
      </w:r>
      <w:r w:rsidRPr="00A86354" w:rsidR="00A901F5">
        <w:rPr>
          <w:rFonts w:cs="Arial"/>
          <w:sz w:val="20"/>
          <w:szCs w:val="20"/>
          <w:lang w:val="fr-FR"/>
        </w:rPr>
        <w:t xml:space="preserve"> </w:t>
      </w:r>
      <w:r w:rsidRPr="00A86354">
        <w:rPr>
          <w:rFonts w:cs="Arial"/>
          <w:sz w:val="20"/>
          <w:szCs w:val="20"/>
          <w:lang w:val="fr-FR"/>
        </w:rPr>
        <w:t>sont in</w:t>
      </w:r>
      <w:r w:rsidRPr="00A86354" w:rsidR="00A901F5">
        <w:rPr>
          <w:rFonts w:cs="Arial"/>
          <w:sz w:val="20"/>
          <w:szCs w:val="20"/>
          <w:lang w:val="fr-FR"/>
        </w:rPr>
        <w:t>suff</w:t>
      </w:r>
      <w:r w:rsidRPr="00A86354">
        <w:rPr>
          <w:rFonts w:cs="Arial"/>
          <w:sz w:val="20"/>
          <w:szCs w:val="20"/>
          <w:lang w:val="fr-FR"/>
        </w:rPr>
        <w:t>isantes</w:t>
      </w:r>
      <w:r w:rsidRPr="00A86354" w:rsidR="000807D5">
        <w:rPr>
          <w:rFonts w:cs="Arial"/>
          <w:sz w:val="20"/>
          <w:szCs w:val="20"/>
          <w:lang w:val="fr-FR"/>
        </w:rPr>
        <w:t> ;</w:t>
      </w:r>
      <w:r w:rsidRPr="00A86354" w:rsidR="00AF3FC7">
        <w:rPr>
          <w:rFonts w:cs="Arial"/>
          <w:sz w:val="20"/>
          <w:szCs w:val="20"/>
          <w:lang w:val="fr-FR"/>
        </w:rPr>
        <w:t xml:space="preserve">  </w:t>
      </w:r>
      <w:r w:rsidRPr="00A86354" w:rsidR="00A901F5">
        <w:rPr>
          <w:rFonts w:cs="Arial"/>
          <w:sz w:val="20"/>
          <w:szCs w:val="20"/>
          <w:lang w:val="fr-FR"/>
        </w:rPr>
        <w:t xml:space="preserve"> </w:t>
      </w:r>
    </w:p>
    <w:p w:rsidRPr="00A86354" w:rsidR="00A901F5" w:rsidP="00CE016A" w:rsidRDefault="005E72DE" w14:paraId="2BD35B94" w14:textId="0F2615D7">
      <w:pPr>
        <w:pStyle w:val="ListParagraph"/>
        <w:numPr>
          <w:ilvl w:val="0"/>
          <w:numId w:val="2"/>
        </w:numPr>
        <w:rPr>
          <w:rFonts w:cs="Arial"/>
          <w:sz w:val="20"/>
          <w:szCs w:val="20"/>
          <w:lang w:val="fr-FR"/>
        </w:rPr>
      </w:pPr>
      <w:r w:rsidRPr="00A86354">
        <w:rPr>
          <w:rFonts w:cs="Arial"/>
          <w:sz w:val="20"/>
          <w:szCs w:val="20"/>
          <w:lang w:val="fr-FR"/>
        </w:rPr>
        <w:t>les délais de traitement des demandes de mise à disposition d</w:t>
      </w:r>
      <w:r w:rsidRPr="00A86354" w:rsidR="0006032C">
        <w:rPr>
          <w:rFonts w:cs="Arial"/>
          <w:sz w:val="20"/>
          <w:szCs w:val="20"/>
          <w:lang w:val="fr-FR"/>
        </w:rPr>
        <w:t>’</w:t>
      </w:r>
      <w:r w:rsidRPr="00A86354">
        <w:rPr>
          <w:rFonts w:cs="Arial"/>
          <w:sz w:val="20"/>
          <w:szCs w:val="20"/>
          <w:lang w:val="fr-FR"/>
        </w:rPr>
        <w:t>un AESH sont excessifs</w:t>
      </w:r>
      <w:r w:rsidRPr="00A86354" w:rsidR="000807D5">
        <w:rPr>
          <w:rFonts w:cs="Arial"/>
          <w:sz w:val="20"/>
          <w:szCs w:val="20"/>
          <w:lang w:val="fr-FR"/>
        </w:rPr>
        <w:t> ;</w:t>
      </w:r>
      <w:r w:rsidRPr="00A86354" w:rsidR="00A901F5">
        <w:rPr>
          <w:rFonts w:cs="Arial"/>
          <w:sz w:val="20"/>
          <w:szCs w:val="20"/>
          <w:lang w:val="fr-FR"/>
        </w:rPr>
        <w:t xml:space="preserve"> </w:t>
      </w:r>
    </w:p>
    <w:p w:rsidRPr="00A86354" w:rsidR="00A901F5" w:rsidP="00CE016A" w:rsidRDefault="005E72DE" w14:paraId="345BDF9F" w14:textId="1DA6BED5">
      <w:pPr>
        <w:pStyle w:val="ListParagraph"/>
        <w:numPr>
          <w:ilvl w:val="0"/>
          <w:numId w:val="2"/>
        </w:numPr>
        <w:rPr>
          <w:rFonts w:cs="Arial"/>
          <w:sz w:val="20"/>
          <w:szCs w:val="20"/>
          <w:lang w:val="fr-FR"/>
        </w:rPr>
      </w:pPr>
      <w:r w:rsidRPr="00A86354">
        <w:rPr>
          <w:rFonts w:cs="Arial"/>
          <w:sz w:val="20"/>
          <w:szCs w:val="20"/>
          <w:lang w:val="fr-FR"/>
        </w:rPr>
        <w:t>la</w:t>
      </w:r>
      <w:r w:rsidRPr="00A86354" w:rsidR="00A901F5">
        <w:rPr>
          <w:rFonts w:cs="Arial"/>
          <w:sz w:val="20"/>
          <w:szCs w:val="20"/>
          <w:lang w:val="fr-FR"/>
        </w:rPr>
        <w:t xml:space="preserve"> situation </w:t>
      </w:r>
      <w:r w:rsidRPr="00A86354">
        <w:rPr>
          <w:rFonts w:cs="Arial"/>
          <w:sz w:val="20"/>
          <w:szCs w:val="20"/>
          <w:lang w:val="fr-FR"/>
        </w:rPr>
        <w:t>des enfants polyhandicapés est problématique.</w:t>
      </w:r>
    </w:p>
    <w:p w:rsidRPr="00A86354" w:rsidR="00A901F5" w:rsidP="00720F53" w:rsidRDefault="00A901F5" w14:paraId="0CE975E2" w14:textId="77777777">
      <w:pPr>
        <w:pStyle w:val="ListParagraph"/>
        <w:rPr>
          <w:rFonts w:cs="Arial"/>
          <w:lang w:val="fr-FR"/>
        </w:rPr>
      </w:pPr>
    </w:p>
    <w:p w:rsidRPr="00A86354" w:rsidR="000A6EA8" w:rsidP="00CE016A" w:rsidRDefault="00E97244" w14:paraId="1C8CBF32" w14:textId="3145DDD9">
      <w:pPr>
        <w:pStyle w:val="ListParagraph"/>
        <w:numPr>
          <w:ilvl w:val="0"/>
          <w:numId w:val="1"/>
        </w:numPr>
        <w:ind w:left="0" w:firstLine="0"/>
        <w:rPr>
          <w:rFonts w:cs="Arial"/>
          <w:lang w:val="fr-FR"/>
        </w:rPr>
      </w:pPr>
      <w:r w:rsidRPr="00A86354">
        <w:rPr>
          <w:rFonts w:cs="Arial"/>
          <w:lang w:val="fr-FR"/>
        </w:rPr>
        <w:t>Le Comité note</w:t>
      </w:r>
      <w:r w:rsidRPr="00A86354" w:rsidR="00D11CB3">
        <w:rPr>
          <w:rFonts w:cs="Arial"/>
          <w:lang w:val="fr-FR"/>
        </w:rPr>
        <w:t xml:space="preserve"> </w:t>
      </w:r>
      <w:r w:rsidRPr="00A86354" w:rsidR="007D40E9">
        <w:rPr>
          <w:rFonts w:cs="Arial"/>
          <w:lang w:val="fr-FR"/>
        </w:rPr>
        <w:t>que la loi de</w:t>
      </w:r>
      <w:r w:rsidRPr="00A86354" w:rsidR="009124F4">
        <w:rPr>
          <w:rFonts w:cs="Arial"/>
          <w:lang w:val="fr-FR"/>
        </w:rPr>
        <w:t xml:space="preserve"> </w:t>
      </w:r>
      <w:r w:rsidRPr="00A86354" w:rsidR="00004D72">
        <w:rPr>
          <w:rFonts w:cs="Arial"/>
          <w:lang w:val="fr-FR"/>
        </w:rPr>
        <w:t xml:space="preserve">2005 </w:t>
      </w:r>
      <w:r w:rsidRPr="00A86354" w:rsidR="00C66BF1">
        <w:rPr>
          <w:rFonts w:cs="Arial"/>
          <w:lang w:val="fr-FR"/>
        </w:rPr>
        <w:t>consacre le droit à</w:t>
      </w:r>
      <w:r w:rsidRPr="00A86354" w:rsidR="009E5BC2">
        <w:rPr>
          <w:rFonts w:cs="Arial"/>
          <w:lang w:val="fr-FR"/>
        </w:rPr>
        <w:t xml:space="preserve"> une scolarisation</w:t>
      </w:r>
      <w:r w:rsidRPr="00A86354" w:rsidR="00C66BF1">
        <w:rPr>
          <w:rFonts w:cs="Arial"/>
          <w:lang w:val="fr-FR"/>
        </w:rPr>
        <w:t xml:space="preserve"> en milieu ordinaire de tout enfant handicapé et </w:t>
      </w:r>
      <w:r w:rsidRPr="00A86354" w:rsidR="00F526B6">
        <w:rPr>
          <w:rFonts w:cs="Arial"/>
          <w:lang w:val="fr-FR"/>
        </w:rPr>
        <w:t>vise à assurer</w:t>
      </w:r>
      <w:r w:rsidRPr="00A86354" w:rsidR="009E5BC2">
        <w:rPr>
          <w:rFonts w:cs="Arial"/>
          <w:lang w:val="fr-FR"/>
        </w:rPr>
        <w:t xml:space="preserve"> </w:t>
      </w:r>
      <w:r w:rsidRPr="00A86354" w:rsidR="00C66BF1">
        <w:rPr>
          <w:rFonts w:cs="Arial"/>
          <w:bCs/>
          <w:lang w:val="fr-FR"/>
        </w:rPr>
        <w:t>l</w:t>
      </w:r>
      <w:r w:rsidRPr="00A86354" w:rsidR="0006032C">
        <w:rPr>
          <w:rFonts w:cs="Arial"/>
          <w:bCs/>
          <w:lang w:val="fr-FR"/>
        </w:rPr>
        <w:t>’</w:t>
      </w:r>
      <w:r w:rsidRPr="00A86354" w:rsidR="00C66BF1">
        <w:rPr>
          <w:rFonts w:cs="Arial"/>
          <w:bCs/>
          <w:lang w:val="fr-FR"/>
        </w:rPr>
        <w:t>inclusion scolaire de tous les enfants sans aucune distinction</w:t>
      </w:r>
      <w:r w:rsidRPr="00A86354" w:rsidR="00C66BF1">
        <w:rPr>
          <w:rFonts w:cs="Arial"/>
          <w:lang w:val="fr-FR"/>
        </w:rPr>
        <w:t>.</w:t>
      </w:r>
      <w:r w:rsidRPr="00A86354" w:rsidR="000A6EA8">
        <w:rPr>
          <w:rFonts w:cs="Arial"/>
          <w:lang w:val="fr-FR"/>
        </w:rPr>
        <w:t xml:space="preserve"> </w:t>
      </w:r>
      <w:r w:rsidRPr="00A86354" w:rsidR="005004F1">
        <w:rPr>
          <w:rFonts w:cs="Arial"/>
          <w:lang w:val="fr-FR"/>
        </w:rPr>
        <w:t xml:space="preserve"> </w:t>
      </w:r>
      <w:r w:rsidRPr="00A86354" w:rsidR="000A6EA8">
        <w:rPr>
          <w:rFonts w:cs="Arial"/>
          <w:lang w:val="fr-FR"/>
        </w:rPr>
        <w:t xml:space="preserve">   </w:t>
      </w:r>
    </w:p>
    <w:p w:rsidRPr="00A86354" w:rsidR="008F0D0E" w:rsidP="008F0D0E" w:rsidRDefault="008F0D0E" w14:paraId="036C3BBF" w14:textId="77777777">
      <w:pPr>
        <w:ind w:left="360" w:hanging="360"/>
        <w:rPr>
          <w:rFonts w:ascii="Arial" w:hAnsi="Arial" w:cs="Arial"/>
          <w:lang w:val="fr-FR"/>
        </w:rPr>
      </w:pPr>
    </w:p>
    <w:p w:rsidRPr="00A86354" w:rsidR="009D60AC" w:rsidP="00CE016A" w:rsidRDefault="00D8253D" w14:paraId="7002BA33" w14:textId="50979145">
      <w:pPr>
        <w:pStyle w:val="ListParagraph"/>
        <w:numPr>
          <w:ilvl w:val="0"/>
          <w:numId w:val="1"/>
        </w:numPr>
        <w:ind w:left="0" w:firstLine="0"/>
        <w:rPr>
          <w:rFonts w:cs="Arial"/>
          <w:lang w:val="fr-FR"/>
        </w:rPr>
      </w:pPr>
      <w:r w:rsidRPr="00A86354">
        <w:rPr>
          <w:rFonts w:cs="Arial"/>
          <w:lang w:val="fr-FR"/>
        </w:rPr>
        <w:t>L</w:t>
      </w:r>
      <w:r w:rsidRPr="00A86354" w:rsidR="0006032C">
        <w:rPr>
          <w:rFonts w:cs="Arial"/>
          <w:lang w:val="fr-FR"/>
        </w:rPr>
        <w:t>’</w:t>
      </w:r>
      <w:r w:rsidRPr="00A86354">
        <w:rPr>
          <w:rFonts w:cs="Arial"/>
          <w:lang w:val="fr-FR"/>
        </w:rPr>
        <w:t>i</w:t>
      </w:r>
      <w:r w:rsidRPr="00A86354" w:rsidR="00ED071C">
        <w:rPr>
          <w:rFonts w:cs="Arial"/>
          <w:lang w:val="fr-FR"/>
        </w:rPr>
        <w:t>nclusion</w:t>
      </w:r>
      <w:r w:rsidRPr="00A86354">
        <w:rPr>
          <w:rFonts w:cs="Arial"/>
          <w:lang w:val="fr-FR"/>
        </w:rPr>
        <w:t xml:space="preserve"> scolaire en milieu ordinaire est assurée</w:t>
      </w:r>
      <w:r w:rsidRPr="00A86354" w:rsidR="00ED071C">
        <w:rPr>
          <w:rFonts w:cs="Arial"/>
          <w:lang w:val="fr-FR"/>
        </w:rPr>
        <w:t xml:space="preserve"> </w:t>
      </w:r>
      <w:r w:rsidRPr="00A86354">
        <w:rPr>
          <w:rFonts w:cs="Arial"/>
          <w:lang w:val="fr-FR"/>
        </w:rPr>
        <w:t xml:space="preserve">soit </w:t>
      </w:r>
      <w:r w:rsidRPr="00A86354" w:rsidR="00A6778F">
        <w:rPr>
          <w:rFonts w:cs="Arial"/>
          <w:lang w:val="fr-FR"/>
        </w:rPr>
        <w:t>dans le cadre d</w:t>
      </w:r>
      <w:r w:rsidRPr="00A86354" w:rsidR="0006032C">
        <w:rPr>
          <w:rFonts w:cs="Arial"/>
          <w:lang w:val="fr-FR"/>
        </w:rPr>
        <w:t>’</w:t>
      </w:r>
      <w:r w:rsidRPr="00A86354">
        <w:rPr>
          <w:rFonts w:cs="Arial"/>
          <w:lang w:val="fr-FR"/>
        </w:rPr>
        <w:t>une scolarisation individuelle dans les classes ordina</w:t>
      </w:r>
      <w:r w:rsidRPr="00A86354" w:rsidR="00A6778F">
        <w:rPr>
          <w:rFonts w:cs="Arial"/>
          <w:lang w:val="fr-FR"/>
        </w:rPr>
        <w:t>ires, grâce à l</w:t>
      </w:r>
      <w:r w:rsidRPr="00A86354" w:rsidR="0006032C">
        <w:rPr>
          <w:rFonts w:cs="Arial"/>
          <w:lang w:val="fr-FR"/>
        </w:rPr>
        <w:t>’</w:t>
      </w:r>
      <w:r w:rsidRPr="00A86354" w:rsidR="00A6778F">
        <w:rPr>
          <w:rFonts w:cs="Arial"/>
          <w:lang w:val="fr-FR"/>
        </w:rPr>
        <w:t>assistance d</w:t>
      </w:r>
      <w:r w:rsidRPr="00A86354" w:rsidR="0006032C">
        <w:rPr>
          <w:rFonts w:cs="Arial"/>
          <w:lang w:val="fr-FR"/>
        </w:rPr>
        <w:t>’</w:t>
      </w:r>
      <w:r w:rsidRPr="00A86354" w:rsidR="00A6778F">
        <w:rPr>
          <w:rFonts w:cs="Arial"/>
          <w:lang w:val="fr-FR"/>
        </w:rPr>
        <w:t>un</w:t>
      </w:r>
      <w:r w:rsidRPr="00A86354">
        <w:rPr>
          <w:rFonts w:cs="Arial"/>
          <w:lang w:val="fr-FR"/>
        </w:rPr>
        <w:t xml:space="preserve"> </w:t>
      </w:r>
      <w:r w:rsidRPr="00A86354" w:rsidR="00F96631">
        <w:rPr>
          <w:rFonts w:cs="Arial"/>
          <w:lang w:val="fr-FR"/>
        </w:rPr>
        <w:t>AESH</w:t>
      </w:r>
      <w:r w:rsidRPr="00A86354" w:rsidR="00A6778F">
        <w:rPr>
          <w:rFonts w:cs="Arial"/>
          <w:lang w:val="fr-FR"/>
        </w:rPr>
        <w:t>, soit dans des classes</w:t>
      </w:r>
      <w:r w:rsidRPr="00A86354" w:rsidR="00ED071C">
        <w:rPr>
          <w:rFonts w:cs="Arial"/>
          <w:lang w:val="fr-FR"/>
        </w:rPr>
        <w:t xml:space="preserve"> </w:t>
      </w:r>
      <w:r w:rsidRPr="00A86354" w:rsidR="00D3290C">
        <w:rPr>
          <w:rFonts w:cs="Arial"/>
          <w:lang w:val="fr-FR"/>
        </w:rPr>
        <w:t>séparées</w:t>
      </w:r>
      <w:r w:rsidRPr="00A86354" w:rsidR="00ED071C">
        <w:rPr>
          <w:rFonts w:cs="Arial"/>
          <w:lang w:val="fr-FR"/>
        </w:rPr>
        <w:t xml:space="preserve"> (</w:t>
      </w:r>
      <w:r w:rsidRPr="00A86354" w:rsidR="000807D5">
        <w:rPr>
          <w:rFonts w:cs="Arial"/>
          <w:lang w:val="fr-FR"/>
        </w:rPr>
        <w:t>« </w:t>
      </w:r>
      <w:r w:rsidRPr="00A86354" w:rsidR="00251842">
        <w:rPr>
          <w:rFonts w:cs="Arial"/>
          <w:lang w:val="fr-FR"/>
        </w:rPr>
        <w:t>ULIS</w:t>
      </w:r>
      <w:r w:rsidRPr="00A86354" w:rsidR="000807D5">
        <w:rPr>
          <w:rFonts w:cs="Arial"/>
          <w:lang w:val="fr-FR"/>
        </w:rPr>
        <w:t> »</w:t>
      </w:r>
      <w:r w:rsidRPr="00A86354" w:rsidR="001318E7">
        <w:rPr>
          <w:rFonts w:cs="Arial"/>
          <w:lang w:val="fr-FR"/>
        </w:rPr>
        <w:t xml:space="preserve"> -</w:t>
      </w:r>
      <w:r w:rsidRPr="00A86354" w:rsidR="00ED071C">
        <w:rPr>
          <w:rFonts w:cs="Arial"/>
          <w:lang w:val="fr-FR"/>
        </w:rPr>
        <w:t xml:space="preserve"> </w:t>
      </w:r>
      <w:r w:rsidRPr="00A86354" w:rsidR="001318E7">
        <w:rPr>
          <w:rFonts w:cs="Arial"/>
          <w:lang w:val="fr-FR"/>
        </w:rPr>
        <w:t>Unités localisées pour l</w:t>
      </w:r>
      <w:r w:rsidRPr="00A86354" w:rsidR="0006032C">
        <w:rPr>
          <w:rFonts w:cs="Arial"/>
          <w:lang w:val="fr-FR"/>
        </w:rPr>
        <w:t>’</w:t>
      </w:r>
      <w:r w:rsidRPr="00A86354" w:rsidR="001318E7">
        <w:rPr>
          <w:rFonts w:cs="Arial"/>
          <w:lang w:val="fr-FR"/>
        </w:rPr>
        <w:t>inclusion scolaire</w:t>
      </w:r>
      <w:r w:rsidRPr="00A86354" w:rsidR="00345DE5">
        <w:rPr>
          <w:rFonts w:cs="Arial"/>
          <w:lang w:val="fr-FR"/>
        </w:rPr>
        <w:t xml:space="preserve">). </w:t>
      </w:r>
      <w:r w:rsidRPr="00A86354" w:rsidR="009500AC">
        <w:rPr>
          <w:rFonts w:cs="Arial"/>
          <w:lang w:val="fr-FR"/>
        </w:rPr>
        <w:t xml:space="preserve">Les </w:t>
      </w:r>
      <w:r w:rsidRPr="00A86354" w:rsidR="00251842">
        <w:rPr>
          <w:rFonts w:cs="Arial"/>
          <w:lang w:val="fr-FR"/>
        </w:rPr>
        <w:t xml:space="preserve">ULIS </w:t>
      </w:r>
      <w:r w:rsidRPr="00A86354" w:rsidR="001318E7">
        <w:rPr>
          <w:rFonts w:cs="Arial"/>
          <w:lang w:val="fr-FR"/>
        </w:rPr>
        <w:t>sont situées dans les établissements d</w:t>
      </w:r>
      <w:r w:rsidRPr="00A86354" w:rsidR="0006032C">
        <w:rPr>
          <w:rFonts w:cs="Arial"/>
          <w:lang w:val="fr-FR"/>
        </w:rPr>
        <w:t>’</w:t>
      </w:r>
      <w:r w:rsidRPr="00A86354" w:rsidR="001318E7">
        <w:rPr>
          <w:rFonts w:cs="Arial"/>
          <w:lang w:val="fr-FR"/>
        </w:rPr>
        <w:t>enseignement</w:t>
      </w:r>
      <w:r w:rsidRPr="00A86354" w:rsidR="009500AC">
        <w:rPr>
          <w:rFonts w:cs="Arial"/>
          <w:lang w:val="fr-FR"/>
        </w:rPr>
        <w:t xml:space="preserve"> </w:t>
      </w:r>
      <w:r w:rsidRPr="00A86354" w:rsidR="001318E7">
        <w:rPr>
          <w:rFonts w:cs="Arial"/>
          <w:lang w:val="fr-FR"/>
        </w:rPr>
        <w:t>ordinaire</w:t>
      </w:r>
      <w:r w:rsidRPr="00A86354" w:rsidR="009500AC">
        <w:rPr>
          <w:rFonts w:cs="Arial"/>
          <w:lang w:val="fr-FR"/>
        </w:rPr>
        <w:t xml:space="preserve"> </w:t>
      </w:r>
      <w:r w:rsidRPr="00A86354" w:rsidR="001318E7">
        <w:rPr>
          <w:rFonts w:cs="Arial"/>
          <w:lang w:val="fr-FR"/>
        </w:rPr>
        <w:t>et accueillent des enfants qui peuvent bénéficier d</w:t>
      </w:r>
      <w:r w:rsidRPr="00A86354" w:rsidR="0006032C">
        <w:rPr>
          <w:rFonts w:cs="Arial"/>
          <w:lang w:val="fr-FR"/>
        </w:rPr>
        <w:t>’</w:t>
      </w:r>
      <w:r w:rsidRPr="00A86354" w:rsidR="001318E7">
        <w:rPr>
          <w:rFonts w:cs="Arial"/>
          <w:lang w:val="fr-FR"/>
        </w:rPr>
        <w:t>une scolarisation dans un cadre scolaire ordinaire, mais dont le handicap requiert des méthodes adaptées, appliquées dans une classe réservée à cette fin</w:t>
      </w:r>
      <w:r w:rsidRPr="00A86354" w:rsidR="009D60AC">
        <w:rPr>
          <w:rFonts w:cs="Arial"/>
          <w:lang w:val="fr-FR"/>
        </w:rPr>
        <w:t xml:space="preserve">. </w:t>
      </w:r>
      <w:r w:rsidRPr="00A86354" w:rsidR="00280AD9">
        <w:rPr>
          <w:rFonts w:cs="Arial"/>
          <w:lang w:val="fr-FR"/>
        </w:rPr>
        <w:t>Dans les classes</w:t>
      </w:r>
      <w:r w:rsidRPr="00A86354" w:rsidR="009D60AC">
        <w:rPr>
          <w:rFonts w:cs="Arial"/>
          <w:lang w:val="fr-FR"/>
        </w:rPr>
        <w:t xml:space="preserve"> </w:t>
      </w:r>
      <w:r w:rsidRPr="00A86354" w:rsidR="00251842">
        <w:rPr>
          <w:rFonts w:cs="Arial"/>
          <w:lang w:val="fr-FR"/>
        </w:rPr>
        <w:t>ULIS</w:t>
      </w:r>
      <w:r w:rsidRPr="00A86354" w:rsidR="009D60AC">
        <w:rPr>
          <w:rFonts w:cs="Arial"/>
          <w:lang w:val="fr-FR"/>
        </w:rPr>
        <w:t xml:space="preserve">, </w:t>
      </w:r>
      <w:r w:rsidRPr="00A86354" w:rsidR="00280AD9">
        <w:rPr>
          <w:rFonts w:cs="Arial"/>
          <w:lang w:val="fr-FR"/>
        </w:rPr>
        <w:t>les élèves reçoivent un enseignement adapté qui répond aux objectifs fixés dans le</w:t>
      </w:r>
      <w:r w:rsidRPr="00A86354" w:rsidR="009D60AC">
        <w:rPr>
          <w:rFonts w:cs="Arial"/>
          <w:lang w:val="fr-FR"/>
        </w:rPr>
        <w:t xml:space="preserve"> </w:t>
      </w:r>
      <w:r w:rsidRPr="00A86354">
        <w:rPr>
          <w:rFonts w:cs="Arial"/>
          <w:lang w:val="fr-FR"/>
        </w:rPr>
        <w:t>projet personnalisé de scolarisation (</w:t>
      </w:r>
      <w:r w:rsidRPr="00A86354" w:rsidR="009D60AC">
        <w:rPr>
          <w:rFonts w:cs="Arial"/>
          <w:lang w:val="fr-FR"/>
        </w:rPr>
        <w:t>PPS</w:t>
      </w:r>
      <w:r w:rsidRPr="00A86354">
        <w:rPr>
          <w:rFonts w:cs="Arial"/>
          <w:lang w:val="fr-FR"/>
        </w:rPr>
        <w:t>)</w:t>
      </w:r>
      <w:r w:rsidRPr="00A86354" w:rsidR="00A6778F">
        <w:rPr>
          <w:rFonts w:cs="Arial"/>
          <w:lang w:val="fr-FR"/>
        </w:rPr>
        <w:t>.</w:t>
      </w:r>
    </w:p>
    <w:p w:rsidRPr="00A86354" w:rsidR="008F0D0E" w:rsidP="008F0D0E" w:rsidRDefault="008F0D0E" w14:paraId="0281240E" w14:textId="77777777">
      <w:pPr>
        <w:ind w:left="360" w:hanging="360"/>
        <w:rPr>
          <w:rFonts w:ascii="Arial" w:hAnsi="Arial" w:cs="Arial"/>
          <w:lang w:val="fr-FR"/>
        </w:rPr>
      </w:pPr>
    </w:p>
    <w:p w:rsidRPr="00A86354" w:rsidR="00FB31BC" w:rsidP="00CE016A" w:rsidRDefault="00F526B6" w14:paraId="7349D399" w14:textId="023F6123">
      <w:pPr>
        <w:pStyle w:val="ListParagraph"/>
        <w:numPr>
          <w:ilvl w:val="0"/>
          <w:numId w:val="1"/>
        </w:numPr>
        <w:ind w:left="0" w:firstLine="0"/>
        <w:rPr>
          <w:rFonts w:cs="Arial"/>
          <w:lang w:val="fr-FR"/>
        </w:rPr>
      </w:pPr>
      <w:r w:rsidRPr="00A86354">
        <w:rPr>
          <w:rFonts w:cs="Arial"/>
          <w:lang w:val="fr-FR"/>
        </w:rPr>
        <w:t>Par ailleurs, afin d</w:t>
      </w:r>
      <w:r w:rsidRPr="00A86354" w:rsidR="0006032C">
        <w:rPr>
          <w:rFonts w:cs="Arial"/>
          <w:lang w:val="fr-FR"/>
        </w:rPr>
        <w:t>’</w:t>
      </w:r>
      <w:r w:rsidRPr="00A86354">
        <w:rPr>
          <w:rFonts w:cs="Arial"/>
          <w:lang w:val="fr-FR"/>
        </w:rPr>
        <w:t>assurer la scolarisation et la continuité des parcours de formation des enfants et des adolescents dont le handicap impose une prise en charge au sein d</w:t>
      </w:r>
      <w:r w:rsidRPr="00A86354" w:rsidR="0006032C">
        <w:rPr>
          <w:rFonts w:cs="Arial"/>
          <w:lang w:val="fr-FR"/>
        </w:rPr>
        <w:t>’</w:t>
      </w:r>
      <w:r w:rsidRPr="00A86354">
        <w:rPr>
          <w:rFonts w:cs="Arial"/>
          <w:lang w:val="fr-FR"/>
        </w:rPr>
        <w:t xml:space="preserve">un établissement </w:t>
      </w:r>
      <w:r w:rsidRPr="00A86354" w:rsidR="00280AD9">
        <w:rPr>
          <w:rFonts w:cs="Arial"/>
          <w:lang w:val="fr-FR"/>
        </w:rPr>
        <w:t>mé</w:t>
      </w:r>
      <w:r w:rsidRPr="00A86354">
        <w:rPr>
          <w:rFonts w:cs="Arial"/>
          <w:lang w:val="fr-FR"/>
        </w:rPr>
        <w:t>dico-social ou de santé et qui ne peuvent effectuer leur scolarité dans une école ou un établissement scolaire, une unité d</w:t>
      </w:r>
      <w:r w:rsidRPr="00A86354" w:rsidR="0006032C">
        <w:rPr>
          <w:rFonts w:cs="Arial"/>
          <w:lang w:val="fr-FR"/>
        </w:rPr>
        <w:t>’</w:t>
      </w:r>
      <w:r w:rsidRPr="00A86354">
        <w:rPr>
          <w:rFonts w:cs="Arial"/>
          <w:lang w:val="fr-FR"/>
        </w:rPr>
        <w:t>enseignement est créée au sein de cet établissement.</w:t>
      </w:r>
      <w:r w:rsidRPr="00A86354" w:rsidR="00A7259D">
        <w:rPr>
          <w:rFonts w:cs="Arial"/>
          <w:lang w:val="fr-FR"/>
        </w:rPr>
        <w:t xml:space="preserve"> </w:t>
      </w:r>
    </w:p>
    <w:p w:rsidRPr="00A86354" w:rsidR="000B7648" w:rsidP="00204C2A" w:rsidRDefault="000B7648" w14:paraId="2EDB4D3C" w14:textId="77777777">
      <w:pPr>
        <w:pStyle w:val="ListParagraph"/>
        <w:rPr>
          <w:rFonts w:cs="Arial"/>
          <w:lang w:val="fr-FR"/>
        </w:rPr>
      </w:pPr>
    </w:p>
    <w:p w:rsidRPr="00A86354" w:rsidR="00FB31BC" w:rsidP="00CE016A" w:rsidRDefault="00E97244" w14:paraId="56AA435F" w14:textId="48E112F1">
      <w:pPr>
        <w:pStyle w:val="ListParagraph"/>
        <w:numPr>
          <w:ilvl w:val="0"/>
          <w:numId w:val="1"/>
        </w:numPr>
        <w:ind w:left="0" w:firstLine="0"/>
        <w:rPr>
          <w:rFonts w:cs="Arial"/>
          <w:lang w:val="fr-FR"/>
        </w:rPr>
      </w:pPr>
      <w:r w:rsidRPr="00A86354">
        <w:rPr>
          <w:rFonts w:cs="Arial"/>
          <w:lang w:val="fr-FR"/>
        </w:rPr>
        <w:t>Les organisations réclamantes</w:t>
      </w:r>
      <w:r w:rsidRPr="00A86354" w:rsidR="00456B46">
        <w:rPr>
          <w:rFonts w:cs="Arial"/>
          <w:lang w:val="fr-FR"/>
        </w:rPr>
        <w:t xml:space="preserve"> </w:t>
      </w:r>
      <w:r w:rsidRPr="00A86354" w:rsidR="00F96631">
        <w:rPr>
          <w:rFonts w:cs="Arial"/>
          <w:lang w:val="fr-FR"/>
        </w:rPr>
        <w:t>font valoir que les</w:t>
      </w:r>
      <w:r w:rsidRPr="00A86354" w:rsidR="00FB31BC">
        <w:rPr>
          <w:rFonts w:cs="Arial"/>
          <w:lang w:val="fr-FR"/>
        </w:rPr>
        <w:t xml:space="preserve"> m</w:t>
      </w:r>
      <w:r w:rsidRPr="00A86354" w:rsidR="00F96631">
        <w:rPr>
          <w:rFonts w:cs="Arial"/>
          <w:lang w:val="fr-FR"/>
        </w:rPr>
        <w:t>e</w:t>
      </w:r>
      <w:r w:rsidRPr="00A86354" w:rsidR="00FB31BC">
        <w:rPr>
          <w:rFonts w:cs="Arial"/>
          <w:lang w:val="fr-FR"/>
        </w:rPr>
        <w:t xml:space="preserve">sures </w:t>
      </w:r>
      <w:r w:rsidRPr="00A86354" w:rsidR="00F96631">
        <w:rPr>
          <w:rFonts w:cs="Arial"/>
          <w:lang w:val="fr-FR"/>
        </w:rPr>
        <w:t xml:space="preserve">prises par le </w:t>
      </w:r>
      <w:r w:rsidRPr="00A86354" w:rsidR="00AE34AC">
        <w:rPr>
          <w:rFonts w:cs="Arial"/>
          <w:lang w:val="fr-FR"/>
        </w:rPr>
        <w:t>Gouvernement</w:t>
      </w:r>
      <w:r w:rsidRPr="00A86354" w:rsidR="00F96631">
        <w:rPr>
          <w:rFonts w:cs="Arial"/>
          <w:lang w:val="fr-FR"/>
        </w:rPr>
        <w:t xml:space="preserve">, notamment dans le cadre du </w:t>
      </w:r>
      <w:r w:rsidRPr="00A86354" w:rsidR="002A0F2C">
        <w:rPr>
          <w:rFonts w:cs="Arial"/>
          <w:lang w:val="fr-FR"/>
        </w:rPr>
        <w:t>dispositif</w:t>
      </w:r>
      <w:r w:rsidRPr="00A86354" w:rsidR="00FB31BC">
        <w:rPr>
          <w:rFonts w:cs="Arial"/>
          <w:lang w:val="fr-FR"/>
        </w:rPr>
        <w:t xml:space="preserve"> </w:t>
      </w:r>
      <w:r w:rsidRPr="00A86354" w:rsidR="00251842">
        <w:rPr>
          <w:rFonts w:cs="Arial"/>
          <w:lang w:val="fr-FR"/>
        </w:rPr>
        <w:t>ULIS</w:t>
      </w:r>
      <w:r w:rsidRPr="00A86354" w:rsidR="00FB31BC">
        <w:rPr>
          <w:rFonts w:cs="Arial"/>
          <w:lang w:val="fr-FR"/>
        </w:rPr>
        <w:t xml:space="preserve">, </w:t>
      </w:r>
      <w:r w:rsidRPr="00A86354" w:rsidR="00F96631">
        <w:rPr>
          <w:rFonts w:cs="Arial"/>
          <w:lang w:val="fr-FR"/>
        </w:rPr>
        <w:t>portent sur la</w:t>
      </w:r>
      <w:r w:rsidRPr="00A86354" w:rsidR="00FB31BC">
        <w:rPr>
          <w:rFonts w:cs="Arial"/>
          <w:lang w:val="fr-FR"/>
        </w:rPr>
        <w:t xml:space="preserve"> cr</w:t>
      </w:r>
      <w:r w:rsidRPr="00A86354" w:rsidR="00F96631">
        <w:rPr>
          <w:rFonts w:cs="Arial"/>
          <w:lang w:val="fr-FR"/>
        </w:rPr>
        <w:t>é</w:t>
      </w:r>
      <w:r w:rsidRPr="00A86354" w:rsidR="00FB31BC">
        <w:rPr>
          <w:rFonts w:cs="Arial"/>
          <w:lang w:val="fr-FR"/>
        </w:rPr>
        <w:t xml:space="preserve">ation </w:t>
      </w:r>
      <w:r w:rsidRPr="00A86354" w:rsidR="00F96631">
        <w:rPr>
          <w:rFonts w:cs="Arial"/>
          <w:lang w:val="fr-FR"/>
        </w:rPr>
        <w:t>de</w:t>
      </w:r>
      <w:r w:rsidRPr="00A86354" w:rsidR="00FB31BC">
        <w:rPr>
          <w:rFonts w:cs="Arial"/>
          <w:lang w:val="fr-FR"/>
        </w:rPr>
        <w:t xml:space="preserve"> classes </w:t>
      </w:r>
      <w:r w:rsidRPr="00A86354" w:rsidR="00D3290C">
        <w:rPr>
          <w:rFonts w:cs="Arial"/>
          <w:lang w:val="fr-FR"/>
        </w:rPr>
        <w:t>spécialisées</w:t>
      </w:r>
      <w:r w:rsidRPr="00A86354" w:rsidR="00F96631">
        <w:rPr>
          <w:rFonts w:cs="Arial"/>
          <w:lang w:val="fr-FR"/>
        </w:rPr>
        <w:t xml:space="preserve"> pour enfants en situation de handicap</w:t>
      </w:r>
      <w:r w:rsidRPr="00A86354" w:rsidR="00FB31BC">
        <w:rPr>
          <w:rFonts w:cs="Arial"/>
          <w:lang w:val="fr-FR"/>
        </w:rPr>
        <w:t xml:space="preserve">, </w:t>
      </w:r>
      <w:r w:rsidRPr="00A86354" w:rsidR="00F96631">
        <w:rPr>
          <w:rFonts w:cs="Arial"/>
          <w:lang w:val="fr-FR"/>
        </w:rPr>
        <w:t>mais n</w:t>
      </w:r>
      <w:r w:rsidRPr="00A86354" w:rsidR="0006032C">
        <w:rPr>
          <w:rFonts w:cs="Arial"/>
          <w:lang w:val="fr-FR"/>
        </w:rPr>
        <w:t>’</w:t>
      </w:r>
      <w:r w:rsidRPr="00A86354" w:rsidR="00F96631">
        <w:rPr>
          <w:rFonts w:cs="Arial"/>
          <w:lang w:val="fr-FR"/>
        </w:rPr>
        <w:t>améliorent pas l</w:t>
      </w:r>
      <w:r w:rsidRPr="00A86354" w:rsidR="0006032C">
        <w:rPr>
          <w:rFonts w:cs="Arial"/>
          <w:lang w:val="fr-FR"/>
        </w:rPr>
        <w:t>’</w:t>
      </w:r>
      <w:r w:rsidRPr="00A86354" w:rsidR="00F96631">
        <w:rPr>
          <w:rFonts w:cs="Arial"/>
          <w:lang w:val="fr-FR"/>
        </w:rPr>
        <w:t>accessibilité universelle de l</w:t>
      </w:r>
      <w:r w:rsidRPr="00A86354" w:rsidR="0006032C">
        <w:rPr>
          <w:rFonts w:cs="Arial"/>
          <w:lang w:val="fr-FR"/>
        </w:rPr>
        <w:t>’</w:t>
      </w:r>
      <w:r w:rsidRPr="00A86354" w:rsidR="00F96631">
        <w:rPr>
          <w:rFonts w:cs="Arial"/>
          <w:lang w:val="fr-FR"/>
        </w:rPr>
        <w:t>école</w:t>
      </w:r>
      <w:r w:rsidRPr="00A86354" w:rsidR="00456B46">
        <w:rPr>
          <w:rFonts w:cs="Arial"/>
          <w:lang w:val="fr-FR"/>
        </w:rPr>
        <w:t>.</w:t>
      </w:r>
      <w:r w:rsidRPr="00A86354" w:rsidR="00FB31BC">
        <w:rPr>
          <w:rFonts w:cs="Arial"/>
          <w:lang w:val="fr-FR"/>
        </w:rPr>
        <w:t xml:space="preserve"> </w:t>
      </w:r>
      <w:r w:rsidRPr="00A86354">
        <w:rPr>
          <w:rFonts w:cs="Arial"/>
          <w:lang w:val="fr-FR"/>
        </w:rPr>
        <w:t>Le Comité rappelle que</w:t>
      </w:r>
      <w:r w:rsidRPr="00A86354" w:rsidR="00FB31BC">
        <w:rPr>
          <w:rFonts w:cs="Arial"/>
          <w:lang w:val="fr-FR"/>
        </w:rPr>
        <w:t xml:space="preserve"> </w:t>
      </w:r>
      <w:r w:rsidRPr="00A86354" w:rsidR="00F96631">
        <w:rPr>
          <w:rFonts w:cs="Arial"/>
          <w:lang w:val="fr-FR"/>
        </w:rPr>
        <w:t>les États p</w:t>
      </w:r>
      <w:r w:rsidRPr="00A86354" w:rsidR="00FB31BC">
        <w:rPr>
          <w:rFonts w:cs="Arial"/>
          <w:lang w:val="fr-FR"/>
        </w:rPr>
        <w:t xml:space="preserve">arties </w:t>
      </w:r>
      <w:r w:rsidRPr="00A86354" w:rsidR="00F96631">
        <w:rPr>
          <w:rFonts w:cs="Arial"/>
          <w:lang w:val="fr-FR"/>
        </w:rPr>
        <w:t>disposent d</w:t>
      </w:r>
      <w:r w:rsidRPr="00A86354" w:rsidR="0006032C">
        <w:rPr>
          <w:rFonts w:cs="Arial"/>
          <w:lang w:val="fr-FR"/>
        </w:rPr>
        <w:t>’</w:t>
      </w:r>
      <w:r w:rsidRPr="00A86354" w:rsidR="00F96631">
        <w:rPr>
          <w:rFonts w:cs="Arial"/>
          <w:lang w:val="fr-FR"/>
        </w:rPr>
        <w:t>une certaine marge d</w:t>
      </w:r>
      <w:r w:rsidRPr="00A86354" w:rsidR="0006032C">
        <w:rPr>
          <w:rFonts w:cs="Arial"/>
          <w:lang w:val="fr-FR"/>
        </w:rPr>
        <w:t>’</w:t>
      </w:r>
      <w:r w:rsidRPr="00A86354" w:rsidR="00F96631">
        <w:rPr>
          <w:rFonts w:cs="Arial"/>
          <w:lang w:val="fr-FR"/>
        </w:rPr>
        <w:t>appréciation concernant l</w:t>
      </w:r>
      <w:r w:rsidRPr="00A86354" w:rsidR="0006032C">
        <w:rPr>
          <w:rFonts w:cs="Arial"/>
          <w:lang w:val="fr-FR"/>
        </w:rPr>
        <w:t>’</w:t>
      </w:r>
      <w:r w:rsidRPr="00A86354" w:rsidR="00F96631">
        <w:rPr>
          <w:rFonts w:cs="Arial"/>
          <w:lang w:val="fr-FR"/>
        </w:rPr>
        <w:t>aide la plus adéquate</w:t>
      </w:r>
      <w:r w:rsidRPr="00A86354" w:rsidR="00FB31BC">
        <w:rPr>
          <w:rFonts w:cs="Arial"/>
          <w:lang w:val="fr-FR"/>
        </w:rPr>
        <w:t xml:space="preserve"> </w:t>
      </w:r>
      <w:r w:rsidRPr="00A86354" w:rsidR="00F96631">
        <w:rPr>
          <w:rFonts w:cs="Arial"/>
          <w:lang w:val="fr-FR"/>
        </w:rPr>
        <w:t>pour les élèves handicapés</w:t>
      </w:r>
      <w:r w:rsidRPr="00A86354" w:rsidR="00FB31BC">
        <w:rPr>
          <w:rFonts w:cs="Arial"/>
          <w:lang w:val="fr-FR"/>
        </w:rPr>
        <w:t xml:space="preserve">, </w:t>
      </w:r>
      <w:r w:rsidRPr="00A86354" w:rsidR="00F96631">
        <w:rPr>
          <w:rFonts w:cs="Arial"/>
          <w:lang w:val="fr-FR"/>
        </w:rPr>
        <w:t xml:space="preserve">à condition </w:t>
      </w:r>
      <w:r w:rsidRPr="00A86354" w:rsidR="002A0F2C">
        <w:rPr>
          <w:rFonts w:cs="Arial"/>
          <w:lang w:val="fr-FR"/>
        </w:rPr>
        <w:t>que</w:t>
      </w:r>
      <w:r w:rsidRPr="00A86354" w:rsidR="00F96631">
        <w:rPr>
          <w:rFonts w:cs="Arial"/>
          <w:lang w:val="fr-FR"/>
        </w:rPr>
        <w:t xml:space="preserve"> les moyens utilisés ne </w:t>
      </w:r>
      <w:r w:rsidRPr="00A86354" w:rsidR="002A0F2C">
        <w:rPr>
          <w:rFonts w:cs="Arial"/>
          <w:lang w:val="fr-FR"/>
        </w:rPr>
        <w:t>privent pas</w:t>
      </w:r>
      <w:r w:rsidRPr="00A86354" w:rsidR="00F96631">
        <w:rPr>
          <w:rFonts w:cs="Arial"/>
          <w:lang w:val="fr-FR"/>
        </w:rPr>
        <w:t xml:space="preserve"> le droit consacré de son efficacité </w:t>
      </w:r>
      <w:r w:rsidRPr="00A86354" w:rsidR="007D1DE7">
        <w:rPr>
          <w:rFonts w:cs="Arial"/>
          <w:lang w:val="fr-FR"/>
        </w:rPr>
        <w:t xml:space="preserve">(MDAC </w:t>
      </w:r>
      <w:r w:rsidRPr="00A86354" w:rsidR="002A0F2C">
        <w:rPr>
          <w:rFonts w:cs="Arial"/>
          <w:lang w:val="fr-FR"/>
        </w:rPr>
        <w:t xml:space="preserve">c. </w:t>
      </w:r>
      <w:r w:rsidRPr="00A86354" w:rsidR="00E627A9">
        <w:rPr>
          <w:rFonts w:cs="Arial"/>
          <w:lang w:val="fr-FR"/>
        </w:rPr>
        <w:t>Belgique, réclamation n° 109/2014</w:t>
      </w:r>
      <w:r w:rsidRPr="00A86354" w:rsidR="007D1DE7">
        <w:rPr>
          <w:rFonts w:cs="Arial"/>
          <w:lang w:val="fr-FR"/>
        </w:rPr>
        <w:t xml:space="preserve">, </w:t>
      </w:r>
      <w:r w:rsidRPr="00A86354" w:rsidR="007D1DE7">
        <w:rPr>
          <w:rFonts w:cs="Arial"/>
          <w:i/>
          <w:iCs/>
          <w:lang w:val="fr-FR"/>
        </w:rPr>
        <w:t>op. cit</w:t>
      </w:r>
      <w:r w:rsidRPr="00A86354" w:rsidR="007D1DE7">
        <w:rPr>
          <w:rFonts w:cs="Arial"/>
          <w:lang w:val="fr-FR"/>
        </w:rPr>
        <w:t xml:space="preserve">., </w:t>
      </w:r>
      <w:r w:rsidRPr="00A86354" w:rsidR="00E627A9">
        <w:rPr>
          <w:rFonts w:cs="Arial"/>
          <w:lang w:val="fr-FR"/>
        </w:rPr>
        <w:t>par.</w:t>
      </w:r>
      <w:r w:rsidRPr="00A86354" w:rsidR="00F90272">
        <w:rPr>
          <w:rFonts w:cs="Arial"/>
          <w:lang w:val="fr-FR"/>
        </w:rPr>
        <w:t> </w:t>
      </w:r>
      <w:r w:rsidRPr="00A86354" w:rsidR="007D1DE7">
        <w:rPr>
          <w:rFonts w:cs="Arial"/>
          <w:lang w:val="fr-FR"/>
        </w:rPr>
        <w:t>61</w:t>
      </w:r>
      <w:r w:rsidRPr="00A86354" w:rsidR="000807D5">
        <w:rPr>
          <w:rFonts w:cs="Arial"/>
          <w:lang w:val="fr-FR"/>
        </w:rPr>
        <w:t> ;</w:t>
      </w:r>
      <w:r w:rsidRPr="00A86354" w:rsidR="006B5E75">
        <w:rPr>
          <w:rFonts w:cs="Arial"/>
          <w:lang w:val="fr-FR"/>
        </w:rPr>
        <w:t xml:space="preserve"> AEH </w:t>
      </w:r>
      <w:r w:rsidRPr="00A86354" w:rsidR="002A0F2C">
        <w:rPr>
          <w:rFonts w:cs="Arial"/>
          <w:lang w:val="fr-FR"/>
        </w:rPr>
        <w:t>c</w:t>
      </w:r>
      <w:r w:rsidRPr="00A86354" w:rsidR="006B5E75">
        <w:rPr>
          <w:rFonts w:cs="Arial"/>
          <w:lang w:val="fr-FR"/>
        </w:rPr>
        <w:t xml:space="preserve">. </w:t>
      </w:r>
      <w:r w:rsidRPr="00A86354" w:rsidR="00E96536">
        <w:rPr>
          <w:rFonts w:cs="Arial"/>
          <w:lang w:val="fr-FR"/>
        </w:rPr>
        <w:t>France, réclamation n° 81/2012</w:t>
      </w:r>
      <w:r w:rsidRPr="00A86354" w:rsidR="006B5E75">
        <w:rPr>
          <w:rFonts w:cs="Arial"/>
          <w:lang w:val="fr-FR"/>
        </w:rPr>
        <w:t xml:space="preserve">, </w:t>
      </w:r>
      <w:r w:rsidRPr="00A86354" w:rsidR="006B5E75">
        <w:rPr>
          <w:rFonts w:cs="Arial"/>
          <w:i/>
          <w:iCs/>
          <w:lang w:val="fr-FR"/>
        </w:rPr>
        <w:t>op. cit</w:t>
      </w:r>
      <w:r w:rsidRPr="00A86354" w:rsidR="006B5E75">
        <w:rPr>
          <w:rFonts w:cs="Arial"/>
          <w:lang w:val="fr-FR"/>
        </w:rPr>
        <w:t xml:space="preserve">., </w:t>
      </w:r>
      <w:r w:rsidRPr="00A86354" w:rsidR="00E627A9">
        <w:rPr>
          <w:rFonts w:cs="Arial"/>
          <w:lang w:val="fr-FR"/>
        </w:rPr>
        <w:t>par.</w:t>
      </w:r>
      <w:r w:rsidRPr="00A86354" w:rsidR="00F90272">
        <w:rPr>
          <w:rFonts w:cs="Arial"/>
          <w:lang w:val="fr-FR"/>
        </w:rPr>
        <w:t> </w:t>
      </w:r>
      <w:r w:rsidRPr="00A86354" w:rsidR="006B5E75">
        <w:rPr>
          <w:rFonts w:cs="Arial"/>
          <w:lang w:val="fr-FR"/>
        </w:rPr>
        <w:t>81</w:t>
      </w:r>
      <w:r w:rsidRPr="00A86354" w:rsidR="007D1DE7">
        <w:rPr>
          <w:rFonts w:cs="Arial"/>
          <w:lang w:val="fr-FR"/>
        </w:rPr>
        <w:t>)</w:t>
      </w:r>
      <w:r w:rsidRPr="00A86354" w:rsidR="00FB31BC">
        <w:rPr>
          <w:rFonts w:cs="Arial"/>
          <w:lang w:val="fr-FR"/>
        </w:rPr>
        <w:t xml:space="preserve">. </w:t>
      </w:r>
      <w:r w:rsidRPr="00A86354" w:rsidR="002A0F2C">
        <w:rPr>
          <w:rFonts w:cs="Arial"/>
          <w:lang w:val="fr-FR"/>
        </w:rPr>
        <w:t>Le Comité observe que la création de classes séparées dans les écoles ordinaires (</w:t>
      </w:r>
      <w:r w:rsidRPr="00A86354" w:rsidR="00251842">
        <w:rPr>
          <w:rFonts w:cs="Arial"/>
          <w:lang w:val="fr-FR"/>
        </w:rPr>
        <w:t>ULIS</w:t>
      </w:r>
      <w:r w:rsidRPr="00A86354" w:rsidR="002A0F2C">
        <w:rPr>
          <w:rFonts w:cs="Arial"/>
          <w:lang w:val="fr-FR"/>
        </w:rPr>
        <w:t xml:space="preserve">) aux fins de proposer un enseignement adapté aux enfants qui ne peuvent pas (encore) bénéficier du dispositif de </w:t>
      </w:r>
      <w:r w:rsidRPr="00A86354" w:rsidR="000807D5">
        <w:rPr>
          <w:rFonts w:cs="Arial"/>
          <w:lang w:val="fr-FR"/>
        </w:rPr>
        <w:t>« </w:t>
      </w:r>
      <w:r w:rsidRPr="00A86354" w:rsidR="00D3290C">
        <w:rPr>
          <w:rFonts w:cs="Arial"/>
          <w:lang w:val="fr-FR"/>
        </w:rPr>
        <w:t>scolarisation</w:t>
      </w:r>
      <w:r w:rsidRPr="00A86354" w:rsidR="002A0F2C">
        <w:rPr>
          <w:rFonts w:cs="Arial"/>
          <w:lang w:val="fr-FR"/>
        </w:rPr>
        <w:t xml:space="preserve"> individuelle</w:t>
      </w:r>
      <w:r w:rsidRPr="00A86354" w:rsidR="000807D5">
        <w:rPr>
          <w:rFonts w:cs="Arial"/>
          <w:lang w:val="fr-FR"/>
        </w:rPr>
        <w:t> »</w:t>
      </w:r>
      <w:r w:rsidRPr="00A86354" w:rsidR="002A0F2C">
        <w:rPr>
          <w:rFonts w:cs="Arial"/>
          <w:lang w:val="fr-FR"/>
        </w:rPr>
        <w:t xml:space="preserve"> n</w:t>
      </w:r>
      <w:r w:rsidRPr="00A86354" w:rsidR="0006032C">
        <w:rPr>
          <w:rFonts w:cs="Arial"/>
          <w:lang w:val="fr-FR"/>
        </w:rPr>
        <w:t>’</w:t>
      </w:r>
      <w:r w:rsidRPr="00A86354" w:rsidR="002A0F2C">
        <w:rPr>
          <w:rFonts w:cs="Arial"/>
          <w:lang w:val="fr-FR"/>
        </w:rPr>
        <w:t>est pas en soi incompatible avec la Charte, si l</w:t>
      </w:r>
      <w:r w:rsidRPr="00A86354" w:rsidR="0006032C">
        <w:rPr>
          <w:rFonts w:cs="Arial"/>
          <w:lang w:val="fr-FR"/>
        </w:rPr>
        <w:t>’</w:t>
      </w:r>
      <w:r w:rsidRPr="00A86354" w:rsidR="002A0F2C">
        <w:rPr>
          <w:rFonts w:cs="Arial"/>
          <w:lang w:val="fr-FR"/>
        </w:rPr>
        <w:t>État partie démontre que des efforts substantiels sont consentis pour atteindre l</w:t>
      </w:r>
      <w:r w:rsidRPr="00A86354" w:rsidR="0006032C">
        <w:rPr>
          <w:rFonts w:cs="Arial"/>
          <w:lang w:val="fr-FR"/>
        </w:rPr>
        <w:t>’</w:t>
      </w:r>
      <w:r w:rsidRPr="00A86354" w:rsidR="002A0F2C">
        <w:rPr>
          <w:rFonts w:cs="Arial"/>
          <w:lang w:val="fr-FR"/>
        </w:rPr>
        <w:t>objectif de l</w:t>
      </w:r>
      <w:r w:rsidRPr="00A86354" w:rsidR="0006032C">
        <w:rPr>
          <w:rFonts w:cs="Arial"/>
          <w:lang w:val="fr-FR"/>
        </w:rPr>
        <w:t>’</w:t>
      </w:r>
      <w:r w:rsidRPr="00A86354" w:rsidR="004857E6">
        <w:rPr>
          <w:rFonts w:cs="Arial"/>
          <w:lang w:val="fr-FR"/>
        </w:rPr>
        <w:t>« </w:t>
      </w:r>
      <w:r w:rsidRPr="00A86354" w:rsidR="002A0F2C">
        <w:rPr>
          <w:rFonts w:cs="Arial"/>
          <w:lang w:val="fr-FR"/>
        </w:rPr>
        <w:t>enseignement ordinaire</w:t>
      </w:r>
      <w:r w:rsidRPr="00A86354" w:rsidR="000807D5">
        <w:rPr>
          <w:rFonts w:cs="Arial"/>
          <w:lang w:val="fr-FR"/>
        </w:rPr>
        <w:t> »</w:t>
      </w:r>
      <w:r w:rsidRPr="00A86354" w:rsidR="002A0F2C">
        <w:rPr>
          <w:rFonts w:cs="Arial"/>
          <w:lang w:val="fr-FR"/>
        </w:rPr>
        <w:t>. Toute la question est de savoir si tel est le cas en l</w:t>
      </w:r>
      <w:r w:rsidRPr="00A86354" w:rsidR="0006032C">
        <w:rPr>
          <w:rFonts w:cs="Arial"/>
          <w:lang w:val="fr-FR"/>
        </w:rPr>
        <w:t>’</w:t>
      </w:r>
      <w:r w:rsidRPr="00A86354" w:rsidR="002A0F2C">
        <w:rPr>
          <w:rFonts w:cs="Arial"/>
          <w:lang w:val="fr-FR"/>
        </w:rPr>
        <w:t>espèce</w:t>
      </w:r>
      <w:r w:rsidRPr="00A86354" w:rsidR="00456B46">
        <w:rPr>
          <w:rFonts w:cs="Arial"/>
          <w:lang w:val="fr-FR"/>
        </w:rPr>
        <w:t xml:space="preserve">. </w:t>
      </w:r>
      <w:r w:rsidRPr="00A86354" w:rsidR="00FB31BC">
        <w:rPr>
          <w:rFonts w:cs="Arial"/>
          <w:lang w:val="fr-FR"/>
        </w:rPr>
        <w:t xml:space="preserve">      </w:t>
      </w:r>
    </w:p>
    <w:p w:rsidRPr="00A86354" w:rsidR="000B7648" w:rsidP="00204C2A" w:rsidRDefault="000B7648" w14:paraId="45E989AE" w14:textId="77777777">
      <w:pPr>
        <w:pStyle w:val="ListParagraph"/>
        <w:rPr>
          <w:rFonts w:cs="Arial"/>
          <w:lang w:val="fr-FR"/>
        </w:rPr>
      </w:pPr>
    </w:p>
    <w:p w:rsidRPr="00A86354" w:rsidR="00031D90" w:rsidP="00CE016A" w:rsidRDefault="008B1D24" w14:paraId="0946F57F" w14:textId="7E14FD38">
      <w:pPr>
        <w:pStyle w:val="ListParagraph"/>
        <w:numPr>
          <w:ilvl w:val="0"/>
          <w:numId w:val="1"/>
        </w:numPr>
        <w:ind w:left="0" w:firstLine="0"/>
        <w:rPr>
          <w:rFonts w:cs="Arial"/>
          <w:lang w:val="fr-FR"/>
        </w:rPr>
      </w:pPr>
      <w:r w:rsidRPr="00A86354">
        <w:rPr>
          <w:rFonts w:cs="Arial"/>
          <w:lang w:val="fr-FR"/>
        </w:rPr>
        <w:t>Le Comité considère que l</w:t>
      </w:r>
      <w:r w:rsidRPr="00A86354" w:rsidR="0006032C">
        <w:rPr>
          <w:rFonts w:cs="Arial"/>
          <w:lang w:val="fr-FR"/>
        </w:rPr>
        <w:t>’</w:t>
      </w:r>
      <w:r w:rsidRPr="00A86354">
        <w:rPr>
          <w:rFonts w:cs="Arial"/>
          <w:lang w:val="fr-FR"/>
        </w:rPr>
        <w:t>accès des élèves handicapés à la scolarité et à l</w:t>
      </w:r>
      <w:r w:rsidRPr="00A86354" w:rsidR="0006032C">
        <w:rPr>
          <w:rFonts w:cs="Arial"/>
          <w:lang w:val="fr-FR"/>
        </w:rPr>
        <w:t>’</w:t>
      </w:r>
      <w:r w:rsidRPr="00A86354">
        <w:rPr>
          <w:rFonts w:cs="Arial"/>
          <w:lang w:val="fr-FR"/>
        </w:rPr>
        <w:t xml:space="preserve">éducation a </w:t>
      </w:r>
      <w:r w:rsidRPr="00A86354" w:rsidR="002638BD">
        <w:rPr>
          <w:rFonts w:cs="Arial"/>
          <w:lang w:val="fr-FR"/>
        </w:rPr>
        <w:t xml:space="preserve">indéniablement </w:t>
      </w:r>
      <w:r w:rsidRPr="00A86354">
        <w:rPr>
          <w:rFonts w:cs="Arial"/>
          <w:lang w:val="fr-FR"/>
        </w:rPr>
        <w:t xml:space="preserve">continué de progresser ces dernières années en </w:t>
      </w:r>
      <w:r w:rsidRPr="00A86354">
        <w:rPr>
          <w:rFonts w:cs="Arial"/>
          <w:lang w:val="fr-FR"/>
        </w:rPr>
        <w:lastRenderedPageBreak/>
        <w:t xml:space="preserve">France. </w:t>
      </w:r>
      <w:r w:rsidRPr="00A86354" w:rsidR="00E775B4">
        <w:rPr>
          <w:rFonts w:cs="Arial"/>
          <w:lang w:val="fr-FR"/>
        </w:rPr>
        <w:t>D</w:t>
      </w:r>
      <w:r w:rsidRPr="00A86354" w:rsidR="0006032C">
        <w:rPr>
          <w:rFonts w:cs="Arial"/>
          <w:lang w:val="fr-FR"/>
        </w:rPr>
        <w:t>’</w:t>
      </w:r>
      <w:r w:rsidRPr="00A86354" w:rsidR="00E775B4">
        <w:rPr>
          <w:rFonts w:cs="Arial"/>
          <w:lang w:val="fr-FR"/>
        </w:rPr>
        <w:t>après les chiffres fournis par</w:t>
      </w:r>
      <w:r w:rsidRPr="00A86354" w:rsidR="00031D90">
        <w:rPr>
          <w:rFonts w:cs="Arial"/>
          <w:lang w:val="fr-FR"/>
        </w:rPr>
        <w:t xml:space="preserve"> </w:t>
      </w:r>
      <w:r w:rsidRPr="00A86354" w:rsidR="0040523D">
        <w:rPr>
          <w:rFonts w:cs="Arial"/>
          <w:lang w:val="fr-FR"/>
        </w:rPr>
        <w:t>la Défenseure des droits</w:t>
      </w:r>
      <w:r w:rsidRPr="00A86354" w:rsidR="00031D90">
        <w:rPr>
          <w:rFonts w:cs="Arial"/>
          <w:lang w:val="fr-FR"/>
        </w:rPr>
        <w:t xml:space="preserve">, </w:t>
      </w:r>
      <w:r w:rsidRPr="00A86354" w:rsidR="00251842">
        <w:rPr>
          <w:rFonts w:cs="Arial"/>
          <w:lang w:val="fr-FR"/>
        </w:rPr>
        <w:t>alors qu</w:t>
      </w:r>
      <w:r w:rsidRPr="00A86354" w:rsidR="0006032C">
        <w:rPr>
          <w:rFonts w:cs="Arial"/>
          <w:lang w:val="fr-FR"/>
        </w:rPr>
        <w:t>’</w:t>
      </w:r>
      <w:r w:rsidRPr="00A86354" w:rsidR="00251842">
        <w:rPr>
          <w:rFonts w:cs="Arial"/>
          <w:lang w:val="fr-FR"/>
        </w:rPr>
        <w:t>au début de l</w:t>
      </w:r>
      <w:r w:rsidRPr="00A86354" w:rsidR="0006032C">
        <w:rPr>
          <w:rFonts w:cs="Arial"/>
          <w:lang w:val="fr-FR"/>
        </w:rPr>
        <w:t>’</w:t>
      </w:r>
      <w:r w:rsidRPr="00A86354" w:rsidR="00251842">
        <w:rPr>
          <w:rFonts w:cs="Arial"/>
          <w:lang w:val="fr-FR"/>
        </w:rPr>
        <w:t>année scolaire 2005-2006, 151 500 enfants et adolescents handicapés étaient scolarisés en milieu ordinaire, au début de l</w:t>
      </w:r>
      <w:r w:rsidRPr="00A86354" w:rsidR="0006032C">
        <w:rPr>
          <w:rFonts w:cs="Arial"/>
          <w:lang w:val="fr-FR"/>
        </w:rPr>
        <w:t>’</w:t>
      </w:r>
      <w:r w:rsidRPr="00A86354" w:rsidR="00251842">
        <w:rPr>
          <w:rFonts w:cs="Arial"/>
          <w:lang w:val="fr-FR"/>
        </w:rPr>
        <w:t xml:space="preserve">année scolaire 2019-2020, environ 360 000 enfants et adolescents étaient </w:t>
      </w:r>
      <w:r w:rsidRPr="00A86354" w:rsidR="00F80706">
        <w:rPr>
          <w:rFonts w:cs="Arial"/>
          <w:lang w:val="fr-FR"/>
        </w:rPr>
        <w:t>scolarisés</w:t>
      </w:r>
      <w:r w:rsidRPr="00A86354" w:rsidR="00251842">
        <w:rPr>
          <w:rFonts w:cs="Arial"/>
          <w:lang w:val="fr-FR"/>
        </w:rPr>
        <w:t xml:space="preserve"> dans des établissements d</w:t>
      </w:r>
      <w:r w:rsidRPr="00A86354" w:rsidR="0006032C">
        <w:rPr>
          <w:rFonts w:cs="Arial"/>
          <w:lang w:val="fr-FR"/>
        </w:rPr>
        <w:t>’</w:t>
      </w:r>
      <w:r w:rsidRPr="00A86354" w:rsidR="00251842">
        <w:rPr>
          <w:rFonts w:cs="Arial"/>
          <w:lang w:val="fr-FR"/>
        </w:rPr>
        <w:t>enseignement publics et privés.</w:t>
      </w:r>
      <w:r w:rsidRPr="00A86354" w:rsidR="00031D90">
        <w:rPr>
          <w:rFonts w:cs="Arial"/>
          <w:lang w:val="fr-FR"/>
        </w:rPr>
        <w:t xml:space="preserve"> </w:t>
      </w:r>
      <w:r w:rsidRPr="00A86354" w:rsidR="00687821">
        <w:rPr>
          <w:rFonts w:cs="Arial"/>
          <w:lang w:val="fr-FR"/>
        </w:rPr>
        <w:t xml:space="preserve">Le Comité </w:t>
      </w:r>
      <w:r w:rsidRPr="00A86354" w:rsidR="00031D90">
        <w:rPr>
          <w:rFonts w:cs="Arial"/>
          <w:lang w:val="fr-FR"/>
        </w:rPr>
        <w:t xml:space="preserve">note, </w:t>
      </w:r>
      <w:r w:rsidRPr="00A86354" w:rsidR="00251842">
        <w:rPr>
          <w:rFonts w:cs="Arial"/>
          <w:lang w:val="fr-FR"/>
        </w:rPr>
        <w:t>sur la base des</w:t>
      </w:r>
      <w:r w:rsidRPr="00A86354" w:rsidR="00031D90">
        <w:rPr>
          <w:rFonts w:cs="Arial"/>
          <w:lang w:val="fr-FR"/>
        </w:rPr>
        <w:t xml:space="preserve"> information</w:t>
      </w:r>
      <w:r w:rsidRPr="00A86354" w:rsidR="00251842">
        <w:rPr>
          <w:rFonts w:cs="Arial"/>
          <w:lang w:val="fr-FR"/>
        </w:rPr>
        <w:t>s</w:t>
      </w:r>
      <w:r w:rsidRPr="00A86354" w:rsidR="00031D90">
        <w:rPr>
          <w:rFonts w:cs="Arial"/>
          <w:lang w:val="fr-FR"/>
        </w:rPr>
        <w:t xml:space="preserve"> </w:t>
      </w:r>
      <w:r w:rsidRPr="00A86354" w:rsidR="00251842">
        <w:rPr>
          <w:rFonts w:cs="Arial"/>
          <w:lang w:val="fr-FR"/>
        </w:rPr>
        <w:t xml:space="preserve">fournies par le </w:t>
      </w:r>
      <w:r w:rsidRPr="00A86354" w:rsidR="00AE34AC">
        <w:rPr>
          <w:rFonts w:cs="Arial"/>
          <w:lang w:val="fr-FR"/>
        </w:rPr>
        <w:t>Gouvernement</w:t>
      </w:r>
      <w:r w:rsidRPr="00A86354" w:rsidR="00031D90">
        <w:rPr>
          <w:rFonts w:cs="Arial"/>
          <w:lang w:val="fr-FR"/>
        </w:rPr>
        <w:t xml:space="preserve">, </w:t>
      </w:r>
      <w:r w:rsidRPr="00A86354" w:rsidR="00251842">
        <w:rPr>
          <w:rFonts w:cs="Arial"/>
          <w:lang w:val="fr-FR"/>
        </w:rPr>
        <w:t>une hausse de</w:t>
      </w:r>
      <w:r w:rsidRPr="00A86354" w:rsidR="00031D90">
        <w:rPr>
          <w:rFonts w:cs="Arial"/>
          <w:lang w:val="fr-FR"/>
        </w:rPr>
        <w:t xml:space="preserve"> 6</w:t>
      </w:r>
      <w:r w:rsidRPr="00A86354" w:rsidR="00251842">
        <w:rPr>
          <w:rFonts w:cs="Arial"/>
          <w:lang w:val="fr-FR"/>
        </w:rPr>
        <w:t>,</w:t>
      </w:r>
      <w:r w:rsidRPr="00A86354" w:rsidR="00031D90">
        <w:rPr>
          <w:rFonts w:cs="Arial"/>
          <w:lang w:val="fr-FR"/>
        </w:rPr>
        <w:t>9</w:t>
      </w:r>
      <w:r w:rsidRPr="00A86354" w:rsidR="00251842">
        <w:rPr>
          <w:rFonts w:cs="Arial"/>
          <w:lang w:val="fr-FR"/>
        </w:rPr>
        <w:t> </w:t>
      </w:r>
      <w:r w:rsidRPr="00A86354" w:rsidR="00031D90">
        <w:rPr>
          <w:rFonts w:cs="Arial"/>
          <w:lang w:val="fr-FR"/>
        </w:rPr>
        <w:t xml:space="preserve">% </w:t>
      </w:r>
      <w:r w:rsidRPr="00A86354" w:rsidR="00251842">
        <w:rPr>
          <w:rFonts w:cs="Arial"/>
          <w:lang w:val="fr-FR"/>
        </w:rPr>
        <w:t>des effectifs d</w:t>
      </w:r>
      <w:r w:rsidRPr="00A86354" w:rsidR="0006032C">
        <w:rPr>
          <w:rFonts w:cs="Arial"/>
          <w:lang w:val="fr-FR"/>
        </w:rPr>
        <w:t>’</w:t>
      </w:r>
      <w:r w:rsidRPr="00A86354" w:rsidR="00251842">
        <w:rPr>
          <w:rFonts w:cs="Arial"/>
          <w:lang w:val="fr-FR"/>
        </w:rPr>
        <w:t>élèves en situation de handicap scolarisés en milieu ordinaire à la rentrée</w:t>
      </w:r>
      <w:r w:rsidRPr="00A86354" w:rsidR="00031D90">
        <w:rPr>
          <w:rFonts w:cs="Arial"/>
          <w:lang w:val="fr-FR"/>
        </w:rPr>
        <w:t xml:space="preserve"> 2017, </w:t>
      </w:r>
      <w:r w:rsidRPr="00A86354" w:rsidR="00251842">
        <w:rPr>
          <w:rFonts w:cs="Arial"/>
          <w:lang w:val="fr-FR"/>
        </w:rPr>
        <w:t>par rapport à l</w:t>
      </w:r>
      <w:r w:rsidRPr="00A86354" w:rsidR="0006032C">
        <w:rPr>
          <w:rFonts w:cs="Arial"/>
          <w:lang w:val="fr-FR"/>
        </w:rPr>
        <w:t>’</w:t>
      </w:r>
      <w:r w:rsidRPr="00A86354" w:rsidR="00251842">
        <w:rPr>
          <w:rFonts w:cs="Arial"/>
          <w:lang w:val="fr-FR"/>
        </w:rPr>
        <w:t>année précédente</w:t>
      </w:r>
      <w:r w:rsidRPr="00A86354" w:rsidR="00031D90">
        <w:rPr>
          <w:rFonts w:cs="Arial"/>
          <w:lang w:val="fr-FR"/>
        </w:rPr>
        <w:t xml:space="preserve">. </w:t>
      </w:r>
      <w:r w:rsidRPr="00A86354" w:rsidR="00F90272">
        <w:rPr>
          <w:rFonts w:cs="Arial"/>
          <w:lang w:val="fr-FR"/>
        </w:rPr>
        <w:t>Il</w:t>
      </w:r>
      <w:r w:rsidRPr="00A86354" w:rsidR="00251842">
        <w:rPr>
          <w:rFonts w:cs="Arial"/>
          <w:lang w:val="fr-FR"/>
        </w:rPr>
        <w:t xml:space="preserve"> note également avec intérêt la</w:t>
      </w:r>
      <w:r w:rsidRPr="00A86354" w:rsidR="00031D90">
        <w:rPr>
          <w:rFonts w:cs="Arial"/>
          <w:lang w:val="fr-FR"/>
        </w:rPr>
        <w:t xml:space="preserve"> cr</w:t>
      </w:r>
      <w:r w:rsidRPr="00A86354" w:rsidR="00251842">
        <w:rPr>
          <w:rFonts w:cs="Arial"/>
          <w:lang w:val="fr-FR"/>
        </w:rPr>
        <w:t>é</w:t>
      </w:r>
      <w:r w:rsidRPr="00A86354" w:rsidR="00031D90">
        <w:rPr>
          <w:rFonts w:cs="Arial"/>
          <w:lang w:val="fr-FR"/>
        </w:rPr>
        <w:t xml:space="preserve">ation </w:t>
      </w:r>
      <w:r w:rsidRPr="00A86354" w:rsidR="00251842">
        <w:rPr>
          <w:rFonts w:cs="Arial"/>
          <w:lang w:val="fr-FR"/>
        </w:rPr>
        <w:t>de</w:t>
      </w:r>
      <w:r w:rsidRPr="00A86354" w:rsidR="00031D90">
        <w:rPr>
          <w:rFonts w:cs="Arial"/>
          <w:lang w:val="fr-FR"/>
        </w:rPr>
        <w:t xml:space="preserve"> 8</w:t>
      </w:r>
      <w:r w:rsidRPr="00A86354" w:rsidR="00251842">
        <w:rPr>
          <w:rFonts w:cs="Arial"/>
          <w:lang w:val="fr-FR"/>
        </w:rPr>
        <w:t> </w:t>
      </w:r>
      <w:r w:rsidRPr="00A86354" w:rsidR="00031D90">
        <w:rPr>
          <w:rFonts w:cs="Arial"/>
          <w:lang w:val="fr-FR"/>
        </w:rPr>
        <w:t xml:space="preserve">026 </w:t>
      </w:r>
      <w:r w:rsidRPr="00A86354" w:rsidR="00251842">
        <w:rPr>
          <w:rFonts w:cs="Arial"/>
          <w:lang w:val="fr-FR"/>
        </w:rPr>
        <w:t>postes d</w:t>
      </w:r>
      <w:r w:rsidRPr="00A86354" w:rsidR="0006032C">
        <w:rPr>
          <w:rFonts w:cs="Arial"/>
          <w:lang w:val="fr-FR"/>
        </w:rPr>
        <w:t>’</w:t>
      </w:r>
      <w:r w:rsidRPr="00A86354" w:rsidR="00251842">
        <w:rPr>
          <w:rFonts w:cs="Arial"/>
          <w:lang w:val="fr-FR"/>
        </w:rPr>
        <w:t xml:space="preserve">accompagnants </w:t>
      </w:r>
      <w:r w:rsidRPr="00A86354" w:rsidR="002B6895">
        <w:rPr>
          <w:rFonts w:cs="Arial"/>
          <w:lang w:val="fr-FR"/>
        </w:rPr>
        <w:t xml:space="preserve">(AESH) </w:t>
      </w:r>
      <w:r w:rsidRPr="00A86354" w:rsidR="00251842">
        <w:rPr>
          <w:rFonts w:cs="Arial"/>
          <w:lang w:val="fr-FR"/>
        </w:rPr>
        <w:t>à la rentrée 2017</w:t>
      </w:r>
      <w:r w:rsidRPr="00A86354" w:rsidR="002B6895">
        <w:rPr>
          <w:rFonts w:cs="Arial"/>
          <w:lang w:val="fr-FR"/>
        </w:rPr>
        <w:t xml:space="preserve"> et de</w:t>
      </w:r>
      <w:r w:rsidRPr="00A86354" w:rsidR="00251842">
        <w:rPr>
          <w:rFonts w:cs="Arial"/>
          <w:lang w:val="fr-FR"/>
        </w:rPr>
        <w:t xml:space="preserve"> 10 900 postes à la rentrée 2018</w:t>
      </w:r>
      <w:r w:rsidRPr="00A86354" w:rsidR="007B4238">
        <w:rPr>
          <w:rFonts w:cs="Arial"/>
          <w:lang w:val="fr-FR"/>
        </w:rPr>
        <w:t xml:space="preserve">. </w:t>
      </w:r>
    </w:p>
    <w:p w:rsidRPr="00A86354" w:rsidR="000B7648" w:rsidP="00204C2A" w:rsidRDefault="000B7648" w14:paraId="15F9D3D8" w14:textId="77777777">
      <w:pPr>
        <w:pStyle w:val="ListParagraph"/>
        <w:rPr>
          <w:rFonts w:cs="Arial"/>
          <w:lang w:val="fr-FR"/>
        </w:rPr>
      </w:pPr>
    </w:p>
    <w:p w:rsidRPr="00A86354" w:rsidR="00FA468F" w:rsidP="00CE016A" w:rsidRDefault="00F11691" w14:paraId="1E94E55D" w14:textId="7CB36390">
      <w:pPr>
        <w:pStyle w:val="ListParagraph"/>
        <w:numPr>
          <w:ilvl w:val="0"/>
          <w:numId w:val="1"/>
        </w:numPr>
        <w:ind w:left="0" w:firstLine="0"/>
        <w:rPr>
          <w:rFonts w:cs="Arial"/>
          <w:lang w:val="fr-FR"/>
        </w:rPr>
      </w:pPr>
      <w:r w:rsidRPr="00A86354">
        <w:rPr>
          <w:rFonts w:cs="Arial"/>
          <w:lang w:val="fr-FR"/>
        </w:rPr>
        <w:t xml:space="preserve">Malgré les progrès accomplis, le </w:t>
      </w:r>
      <w:r w:rsidRPr="00A86354" w:rsidR="00F90272">
        <w:rPr>
          <w:rFonts w:cs="Arial"/>
          <w:lang w:val="fr-FR"/>
        </w:rPr>
        <w:t>Comité constate</w:t>
      </w:r>
      <w:r w:rsidRPr="00A86354">
        <w:rPr>
          <w:rFonts w:cs="Arial"/>
          <w:lang w:val="fr-FR"/>
        </w:rPr>
        <w:t xml:space="preserve"> que des sources nationales et internationales, telles que le rapport 2019 de la Rapporteuse spéciale des Nations Unies </w:t>
      </w:r>
      <w:bookmarkStart w:name="_Hlk116383095" w:id="33"/>
      <w:r w:rsidRPr="00A86354">
        <w:rPr>
          <w:rFonts w:cs="Arial"/>
          <w:lang w:val="fr-FR"/>
        </w:rPr>
        <w:t xml:space="preserve">(voir plus haut </w:t>
      </w:r>
      <w:r w:rsidR="008532B8">
        <w:rPr>
          <w:rFonts w:cs="Arial"/>
          <w:lang w:val="fr-FR"/>
        </w:rPr>
        <w:t>par.</w:t>
      </w:r>
      <w:r w:rsidRPr="00A86354" w:rsidR="00E97726">
        <w:rPr>
          <w:rFonts w:cs="Arial"/>
          <w:lang w:val="fr-FR"/>
        </w:rPr>
        <w:t> </w:t>
      </w:r>
      <w:r w:rsidRPr="00A86354" w:rsidR="000B7648">
        <w:rPr>
          <w:rFonts w:cs="Arial"/>
          <w:lang w:val="fr-FR"/>
        </w:rPr>
        <w:t>98</w:t>
      </w:r>
      <w:r w:rsidRPr="00A86354">
        <w:rPr>
          <w:rFonts w:cs="Arial"/>
          <w:lang w:val="fr-FR"/>
        </w:rPr>
        <w:t xml:space="preserve">) </w:t>
      </w:r>
      <w:bookmarkEnd w:id="33"/>
      <w:r w:rsidRPr="00A86354">
        <w:rPr>
          <w:rFonts w:cs="Arial"/>
          <w:lang w:val="fr-FR"/>
        </w:rPr>
        <w:t>et le rapport 2020 de la Défenseure des droits, font état d</w:t>
      </w:r>
      <w:r w:rsidRPr="00A86354" w:rsidR="0006032C">
        <w:rPr>
          <w:rFonts w:cs="Arial"/>
          <w:lang w:val="fr-FR"/>
        </w:rPr>
        <w:t>’</w:t>
      </w:r>
      <w:r w:rsidRPr="00A86354">
        <w:rPr>
          <w:rFonts w:cs="Arial"/>
          <w:lang w:val="fr-FR"/>
        </w:rPr>
        <w:t>un manque de statistiques et de données officielles fiables, notamment en ce qui concerne le nombre d</w:t>
      </w:r>
      <w:r w:rsidRPr="00A86354" w:rsidR="0006032C">
        <w:rPr>
          <w:rFonts w:cs="Arial"/>
          <w:lang w:val="fr-FR"/>
        </w:rPr>
        <w:t>’</w:t>
      </w:r>
      <w:r w:rsidRPr="00A86354">
        <w:rPr>
          <w:rFonts w:cs="Arial"/>
          <w:lang w:val="fr-FR"/>
        </w:rPr>
        <w:t>élèves handicapés non scolarisés. Dans son rapport susmentionné de 2020, la Défenseure des droits souligne par exemple que plusieurs milliers d</w:t>
      </w:r>
      <w:r w:rsidRPr="00A86354" w:rsidR="0006032C">
        <w:rPr>
          <w:rFonts w:cs="Arial"/>
          <w:lang w:val="fr-FR"/>
        </w:rPr>
        <w:t>’</w:t>
      </w:r>
      <w:r w:rsidRPr="00A86354">
        <w:rPr>
          <w:rFonts w:cs="Arial"/>
          <w:lang w:val="fr-FR"/>
        </w:rPr>
        <w:t xml:space="preserve">enfants, en particulier </w:t>
      </w:r>
      <w:r w:rsidRPr="00A86354" w:rsidR="004C1E87">
        <w:rPr>
          <w:rFonts w:cs="Arial"/>
          <w:lang w:val="fr-FR"/>
        </w:rPr>
        <w:t>d</w:t>
      </w:r>
      <w:r w:rsidRPr="00A86354" w:rsidR="0006032C">
        <w:rPr>
          <w:rFonts w:cs="Arial"/>
          <w:lang w:val="fr-FR"/>
        </w:rPr>
        <w:t>’</w:t>
      </w:r>
      <w:r w:rsidRPr="00A86354" w:rsidR="004C1E87">
        <w:rPr>
          <w:rFonts w:cs="Arial"/>
          <w:lang w:val="fr-FR"/>
        </w:rPr>
        <w:t>enfants polyhandicapés</w:t>
      </w:r>
      <w:r w:rsidRPr="00A86354">
        <w:rPr>
          <w:rFonts w:cs="Arial"/>
          <w:lang w:val="fr-FR"/>
        </w:rPr>
        <w:t>, n</w:t>
      </w:r>
      <w:r w:rsidRPr="00A86354" w:rsidR="0006032C">
        <w:rPr>
          <w:rFonts w:cs="Arial"/>
          <w:lang w:val="fr-FR"/>
        </w:rPr>
        <w:t>’</w:t>
      </w:r>
      <w:r w:rsidRPr="00A86354">
        <w:rPr>
          <w:rFonts w:cs="Arial"/>
          <w:lang w:val="fr-FR"/>
        </w:rPr>
        <w:t>ont pas accès à l</w:t>
      </w:r>
      <w:r w:rsidRPr="00A86354" w:rsidR="0006032C">
        <w:rPr>
          <w:rFonts w:cs="Arial"/>
          <w:lang w:val="fr-FR"/>
        </w:rPr>
        <w:t>’</w:t>
      </w:r>
      <w:r w:rsidRPr="00A86354">
        <w:rPr>
          <w:rFonts w:cs="Arial"/>
          <w:lang w:val="fr-FR"/>
        </w:rPr>
        <w:t>éducation ou ne fréquentent l</w:t>
      </w:r>
      <w:r w:rsidRPr="00A86354" w:rsidR="0006032C">
        <w:rPr>
          <w:rFonts w:cs="Arial"/>
          <w:lang w:val="fr-FR"/>
        </w:rPr>
        <w:t>’</w:t>
      </w:r>
      <w:r w:rsidRPr="00A86354">
        <w:rPr>
          <w:rFonts w:cs="Arial"/>
          <w:lang w:val="fr-FR"/>
        </w:rPr>
        <w:t>école qu</w:t>
      </w:r>
      <w:r w:rsidRPr="00A86354" w:rsidR="0006032C">
        <w:rPr>
          <w:rFonts w:cs="Arial"/>
          <w:lang w:val="fr-FR"/>
        </w:rPr>
        <w:t>’</w:t>
      </w:r>
      <w:r w:rsidRPr="00A86354">
        <w:rPr>
          <w:rFonts w:cs="Arial"/>
          <w:lang w:val="fr-FR"/>
        </w:rPr>
        <w:t>à temps partiel, mais le</w:t>
      </w:r>
      <w:r w:rsidRPr="00A86354" w:rsidR="004C1E87">
        <w:rPr>
          <w:rFonts w:cs="Arial"/>
          <w:lang w:val="fr-FR"/>
        </w:rPr>
        <w:t>ur</w:t>
      </w:r>
      <w:r w:rsidRPr="00A86354">
        <w:rPr>
          <w:rFonts w:cs="Arial"/>
          <w:lang w:val="fr-FR"/>
        </w:rPr>
        <w:t xml:space="preserve"> nombre exact reste inconnu à ce jour en raison de l</w:t>
      </w:r>
      <w:r w:rsidRPr="00A86354" w:rsidR="0006032C">
        <w:rPr>
          <w:rFonts w:cs="Arial"/>
          <w:lang w:val="fr-FR"/>
        </w:rPr>
        <w:t>’</w:t>
      </w:r>
      <w:r w:rsidRPr="00A86354">
        <w:rPr>
          <w:rFonts w:cs="Arial"/>
          <w:lang w:val="fr-FR"/>
        </w:rPr>
        <w:t xml:space="preserve">absence </w:t>
      </w:r>
      <w:r w:rsidRPr="00A86354" w:rsidR="004C1E87">
        <w:rPr>
          <w:rFonts w:cs="Arial"/>
          <w:lang w:val="fr-FR"/>
        </w:rPr>
        <w:t>de</w:t>
      </w:r>
      <w:r w:rsidRPr="00A86354">
        <w:rPr>
          <w:rFonts w:cs="Arial"/>
          <w:lang w:val="fr-FR"/>
        </w:rPr>
        <w:t xml:space="preserve"> système d</w:t>
      </w:r>
      <w:r w:rsidRPr="00A86354" w:rsidR="0006032C">
        <w:rPr>
          <w:rFonts w:cs="Arial"/>
          <w:lang w:val="fr-FR"/>
        </w:rPr>
        <w:t>’</w:t>
      </w:r>
      <w:r w:rsidRPr="00A86354">
        <w:rPr>
          <w:rFonts w:cs="Arial"/>
          <w:lang w:val="fr-FR"/>
        </w:rPr>
        <w:t xml:space="preserve">information permettant de suivre les décisions </w:t>
      </w:r>
      <w:r w:rsidRPr="00A86354" w:rsidR="004C1E87">
        <w:rPr>
          <w:rFonts w:cs="Arial"/>
          <w:lang w:val="fr-FR"/>
        </w:rPr>
        <w:t>d</w:t>
      </w:r>
      <w:r w:rsidRPr="00A86354" w:rsidR="0006032C">
        <w:rPr>
          <w:rFonts w:cs="Arial"/>
          <w:lang w:val="fr-FR"/>
        </w:rPr>
        <w:t>’</w:t>
      </w:r>
      <w:r w:rsidRPr="00A86354" w:rsidR="004C1E87">
        <w:rPr>
          <w:rFonts w:cs="Arial"/>
          <w:lang w:val="fr-FR"/>
        </w:rPr>
        <w:t xml:space="preserve">orientation </w:t>
      </w:r>
      <w:r w:rsidRPr="00A86354">
        <w:rPr>
          <w:rFonts w:cs="Arial"/>
          <w:lang w:val="fr-FR"/>
        </w:rPr>
        <w:t>prises par les MDPH. Le rapport de 2019 de la commission d</w:t>
      </w:r>
      <w:r w:rsidRPr="00A86354" w:rsidR="0006032C">
        <w:rPr>
          <w:rFonts w:cs="Arial"/>
          <w:lang w:val="fr-FR"/>
        </w:rPr>
        <w:t>’</w:t>
      </w:r>
      <w:r w:rsidRPr="00A86354">
        <w:rPr>
          <w:rFonts w:cs="Arial"/>
          <w:lang w:val="fr-FR"/>
        </w:rPr>
        <w:t>enquête de l</w:t>
      </w:r>
      <w:r w:rsidRPr="00A86354" w:rsidR="0006032C">
        <w:rPr>
          <w:rFonts w:cs="Arial"/>
          <w:lang w:val="fr-FR"/>
        </w:rPr>
        <w:t>’</w:t>
      </w:r>
      <w:r w:rsidRPr="00A86354">
        <w:rPr>
          <w:rFonts w:cs="Arial"/>
          <w:lang w:val="fr-FR"/>
        </w:rPr>
        <w:t>Assemblée nationale sur l</w:t>
      </w:r>
      <w:r w:rsidRPr="00A86354" w:rsidR="0006032C">
        <w:rPr>
          <w:rFonts w:cs="Arial"/>
          <w:lang w:val="fr-FR"/>
        </w:rPr>
        <w:t>’</w:t>
      </w:r>
      <w:r w:rsidRPr="00A86354">
        <w:rPr>
          <w:rFonts w:cs="Arial"/>
          <w:lang w:val="fr-FR"/>
        </w:rPr>
        <w:t>inclusion des élèves handicapés à l</w:t>
      </w:r>
      <w:r w:rsidRPr="00A86354" w:rsidR="0006032C">
        <w:rPr>
          <w:rFonts w:cs="Arial"/>
          <w:lang w:val="fr-FR"/>
        </w:rPr>
        <w:t>’</w:t>
      </w:r>
      <w:r w:rsidRPr="00A86354">
        <w:rPr>
          <w:rFonts w:cs="Arial"/>
          <w:lang w:val="fr-FR"/>
        </w:rPr>
        <w:t>école (n° 2178, p. 64), qui évalue l</w:t>
      </w:r>
      <w:r w:rsidRPr="00A86354" w:rsidR="0006032C">
        <w:rPr>
          <w:rFonts w:cs="Arial"/>
          <w:lang w:val="fr-FR"/>
        </w:rPr>
        <w:t>’</w:t>
      </w:r>
      <w:r w:rsidRPr="00A86354">
        <w:rPr>
          <w:rFonts w:cs="Arial"/>
          <w:lang w:val="fr-FR"/>
        </w:rPr>
        <w:t xml:space="preserve">état de </w:t>
      </w:r>
      <w:r w:rsidRPr="00A86354" w:rsidR="004C1E87">
        <w:rPr>
          <w:rFonts w:cs="Arial"/>
          <w:lang w:val="fr-FR"/>
        </w:rPr>
        <w:t xml:space="preserve">la </w:t>
      </w:r>
      <w:r w:rsidRPr="00A86354">
        <w:rPr>
          <w:rFonts w:cs="Arial"/>
          <w:lang w:val="fr-FR"/>
        </w:rPr>
        <w:t xml:space="preserve">mise en </w:t>
      </w:r>
      <w:r w:rsidRPr="00A86354" w:rsidR="004C1E87">
        <w:rPr>
          <w:rFonts w:cs="Arial"/>
          <w:lang w:val="fr-FR"/>
        </w:rPr>
        <w:t xml:space="preserve">œuvre </w:t>
      </w:r>
      <w:r w:rsidRPr="00A86354">
        <w:rPr>
          <w:rFonts w:cs="Arial"/>
          <w:lang w:val="fr-FR"/>
        </w:rPr>
        <w:t xml:space="preserve">de la loi </w:t>
      </w:r>
      <w:r w:rsidRPr="00A86354" w:rsidR="00F90272">
        <w:rPr>
          <w:rFonts w:cs="Arial"/>
          <w:lang w:val="fr-FR"/>
        </w:rPr>
        <w:t>n° </w:t>
      </w:r>
      <w:r w:rsidRPr="00A86354">
        <w:rPr>
          <w:rFonts w:cs="Arial"/>
          <w:lang w:val="fr-FR"/>
        </w:rPr>
        <w:t>2005-102 du 11 février 2005, indique que le nombre d</w:t>
      </w:r>
      <w:r w:rsidRPr="00A86354" w:rsidR="0006032C">
        <w:rPr>
          <w:rFonts w:cs="Arial"/>
          <w:lang w:val="fr-FR"/>
        </w:rPr>
        <w:t>’</w:t>
      </w:r>
      <w:r w:rsidRPr="00A86354">
        <w:rPr>
          <w:rFonts w:cs="Arial"/>
          <w:lang w:val="fr-FR"/>
        </w:rPr>
        <w:t>élèves et d</w:t>
      </w:r>
      <w:r w:rsidRPr="00A86354" w:rsidR="0006032C">
        <w:rPr>
          <w:rFonts w:cs="Arial"/>
          <w:lang w:val="fr-FR"/>
        </w:rPr>
        <w:t>’</w:t>
      </w:r>
      <w:r w:rsidRPr="00A86354">
        <w:rPr>
          <w:rFonts w:cs="Arial"/>
          <w:lang w:val="fr-FR"/>
        </w:rPr>
        <w:t xml:space="preserve">étudiants </w:t>
      </w:r>
      <w:r w:rsidRPr="00A86354" w:rsidR="004C1E87">
        <w:rPr>
          <w:rFonts w:cs="Arial"/>
          <w:lang w:val="fr-FR"/>
        </w:rPr>
        <w:t xml:space="preserve">en situation de </w:t>
      </w:r>
      <w:r w:rsidRPr="00A86354">
        <w:rPr>
          <w:rFonts w:cs="Arial"/>
          <w:lang w:val="fr-FR"/>
        </w:rPr>
        <w:t>handicap n</w:t>
      </w:r>
      <w:r w:rsidRPr="00A86354" w:rsidR="0006032C">
        <w:rPr>
          <w:rFonts w:cs="Arial"/>
          <w:lang w:val="fr-FR"/>
        </w:rPr>
        <w:t>’</w:t>
      </w:r>
      <w:r w:rsidRPr="00A86354">
        <w:rPr>
          <w:rFonts w:cs="Arial"/>
          <w:lang w:val="fr-FR"/>
        </w:rPr>
        <w:t>est pas connu avec certitude, les statistiques existantes ne prenant en compte que ceux qui bénéficient d</w:t>
      </w:r>
      <w:r w:rsidRPr="00A86354" w:rsidR="0006032C">
        <w:rPr>
          <w:rFonts w:cs="Arial"/>
          <w:lang w:val="fr-FR"/>
        </w:rPr>
        <w:t>’</w:t>
      </w:r>
      <w:r w:rsidRPr="00A86354">
        <w:rPr>
          <w:rFonts w:cs="Arial"/>
          <w:lang w:val="fr-FR"/>
        </w:rPr>
        <w:t xml:space="preserve">un </w:t>
      </w:r>
      <w:r w:rsidRPr="00A86354" w:rsidR="004C1E87">
        <w:rPr>
          <w:rFonts w:cs="Arial"/>
          <w:lang w:val="fr-FR"/>
        </w:rPr>
        <w:t>projet</w:t>
      </w:r>
      <w:r w:rsidRPr="00A86354">
        <w:rPr>
          <w:rFonts w:cs="Arial"/>
          <w:lang w:val="fr-FR"/>
        </w:rPr>
        <w:t xml:space="preserve"> </w:t>
      </w:r>
      <w:r w:rsidRPr="00A86354" w:rsidR="004C1E87">
        <w:rPr>
          <w:rFonts w:cs="Arial"/>
          <w:lang w:val="fr-FR"/>
        </w:rPr>
        <w:t xml:space="preserve">personnalisé </w:t>
      </w:r>
      <w:r w:rsidRPr="00A86354">
        <w:rPr>
          <w:rFonts w:cs="Arial"/>
          <w:lang w:val="fr-FR"/>
        </w:rPr>
        <w:t xml:space="preserve">de scolarisation (PPS). </w:t>
      </w:r>
    </w:p>
    <w:p w:rsidRPr="00A86354" w:rsidR="00FA468F" w:rsidP="00FA468F" w:rsidRDefault="00FA468F" w14:paraId="3405B378" w14:textId="77777777">
      <w:pPr>
        <w:pStyle w:val="ListParagraph"/>
        <w:rPr>
          <w:rFonts w:cs="Arial"/>
          <w:lang w:val="fr-FR"/>
        </w:rPr>
      </w:pPr>
    </w:p>
    <w:p w:rsidRPr="00A86354" w:rsidR="000B7648" w:rsidP="00CE016A" w:rsidRDefault="00FA468F" w14:paraId="0B70D8B9" w14:textId="5DC9B796">
      <w:pPr>
        <w:pStyle w:val="ListParagraph"/>
        <w:numPr>
          <w:ilvl w:val="0"/>
          <w:numId w:val="1"/>
        </w:numPr>
        <w:ind w:left="0" w:firstLine="0"/>
        <w:rPr>
          <w:rFonts w:cs="Arial"/>
          <w:lang w:val="fr-FR"/>
        </w:rPr>
      </w:pPr>
      <w:r w:rsidRPr="00A86354">
        <w:rPr>
          <w:rFonts w:cs="Arial"/>
          <w:lang w:val="fr-FR"/>
        </w:rPr>
        <w:t xml:space="preserve">Le Comité note que l'absence de données statistiques fiables et détaillées sur l'accès à l'éducation des enfants handicapés, notamment en ce qui concerne le nombre de ceux qui sont exclus de l'éducation, constitue un problème essentiel pour l'élaboration et la mise en œuvre efficace des politiques du gouvernement en matière d'inclusion scolaire et, partant, du droit à l'éducation inclusive.  </w:t>
      </w:r>
    </w:p>
    <w:p w:rsidRPr="00A86354" w:rsidR="000B7648" w:rsidP="00204C2A" w:rsidRDefault="000B7648" w14:paraId="3ABCF740" w14:textId="77777777">
      <w:pPr>
        <w:pStyle w:val="ListParagraph"/>
        <w:rPr>
          <w:rFonts w:cs="Arial"/>
          <w:lang w:val="fr-FR"/>
        </w:rPr>
      </w:pPr>
    </w:p>
    <w:p w:rsidRPr="00A86354" w:rsidR="00400FFB" w:rsidP="00CE016A" w:rsidRDefault="00400FFB" w14:paraId="715DE2B5" w14:textId="5E986A77">
      <w:pPr>
        <w:pStyle w:val="ListParagraph"/>
        <w:numPr>
          <w:ilvl w:val="0"/>
          <w:numId w:val="1"/>
        </w:numPr>
        <w:ind w:left="0" w:firstLine="0"/>
        <w:rPr>
          <w:rFonts w:cs="Arial"/>
          <w:lang w:val="fr-FR"/>
        </w:rPr>
      </w:pPr>
      <w:r w:rsidRPr="00A86354">
        <w:rPr>
          <w:rFonts w:cs="Arial"/>
          <w:lang w:val="fr-FR"/>
        </w:rPr>
        <w:t>En ce qui concerne les AESH, le Comité constate que, selon les chiffres fournis par le ministère de l</w:t>
      </w:r>
      <w:r w:rsidRPr="00A86354" w:rsidR="0006032C">
        <w:rPr>
          <w:rFonts w:cs="Arial"/>
          <w:lang w:val="fr-FR"/>
        </w:rPr>
        <w:t>’</w:t>
      </w:r>
      <w:r w:rsidRPr="00A86354">
        <w:rPr>
          <w:rFonts w:cs="Arial"/>
          <w:lang w:val="fr-FR"/>
        </w:rPr>
        <w:t>Éducation nationale et de la Jeunesse, le nombre absolu d</w:t>
      </w:r>
      <w:r w:rsidRPr="00A86354" w:rsidR="0006032C">
        <w:rPr>
          <w:rFonts w:cs="Arial"/>
          <w:lang w:val="fr-FR"/>
        </w:rPr>
        <w:t>’</w:t>
      </w:r>
      <w:r w:rsidRPr="00A86354">
        <w:rPr>
          <w:rFonts w:cs="Arial"/>
          <w:lang w:val="fr-FR"/>
        </w:rPr>
        <w:t xml:space="preserve">AESH en </w:t>
      </w:r>
      <w:r w:rsidRPr="00A86354" w:rsidR="00185939">
        <w:rPr>
          <w:rFonts w:cs="Arial"/>
          <w:lang w:val="fr-FR"/>
        </w:rPr>
        <w:t>poste</w:t>
      </w:r>
      <w:r w:rsidRPr="00A86354">
        <w:rPr>
          <w:rFonts w:cs="Arial"/>
          <w:lang w:val="fr-FR"/>
        </w:rPr>
        <w:t xml:space="preserve"> a augmenté de manière significative au cours des dix dernières années</w:t>
      </w:r>
      <w:r w:rsidRPr="00A86354" w:rsidR="000807D5">
        <w:rPr>
          <w:rFonts w:cs="Arial"/>
          <w:lang w:val="fr-FR"/>
        </w:rPr>
        <w:t> :</w:t>
      </w:r>
      <w:r w:rsidRPr="00A86354" w:rsidR="001B42B3">
        <w:rPr>
          <w:rFonts w:cs="Arial"/>
          <w:lang w:val="fr-FR"/>
        </w:rPr>
        <w:t xml:space="preserve"> alors</w:t>
      </w:r>
      <w:r w:rsidRPr="00A86354">
        <w:rPr>
          <w:rFonts w:cs="Arial"/>
          <w:lang w:val="fr-FR"/>
        </w:rPr>
        <w:t xml:space="preserve"> qu</w:t>
      </w:r>
      <w:r w:rsidRPr="00A86354" w:rsidR="0006032C">
        <w:rPr>
          <w:rFonts w:cs="Arial"/>
          <w:lang w:val="fr-FR"/>
        </w:rPr>
        <w:t>’</w:t>
      </w:r>
      <w:r w:rsidRPr="00A86354">
        <w:rPr>
          <w:rFonts w:cs="Arial"/>
          <w:lang w:val="fr-FR"/>
        </w:rPr>
        <w:t>en 2015, il y avait au total 86</w:t>
      </w:r>
      <w:r w:rsidRPr="00A86354" w:rsidR="00946AFF">
        <w:rPr>
          <w:rFonts w:cs="Arial"/>
          <w:lang w:val="fr-FR"/>
        </w:rPr>
        <w:t> </w:t>
      </w:r>
      <w:r w:rsidRPr="00A86354">
        <w:rPr>
          <w:rFonts w:cs="Arial"/>
          <w:lang w:val="fr-FR"/>
        </w:rPr>
        <w:t xml:space="preserve">000 AESH en </w:t>
      </w:r>
      <w:r w:rsidRPr="00A86354" w:rsidR="00185939">
        <w:rPr>
          <w:rFonts w:cs="Arial"/>
          <w:lang w:val="fr-FR"/>
        </w:rPr>
        <w:t>poste</w:t>
      </w:r>
      <w:r w:rsidRPr="00A86354">
        <w:rPr>
          <w:rFonts w:cs="Arial"/>
          <w:lang w:val="fr-FR"/>
        </w:rPr>
        <w:t xml:space="preserve">, ce nombre </w:t>
      </w:r>
      <w:r w:rsidRPr="00A86354" w:rsidR="001B42B3">
        <w:rPr>
          <w:rFonts w:cs="Arial"/>
          <w:lang w:val="fr-FR"/>
        </w:rPr>
        <w:t xml:space="preserve">est </w:t>
      </w:r>
      <w:r w:rsidRPr="00A86354" w:rsidR="00D3290C">
        <w:rPr>
          <w:rFonts w:cs="Arial"/>
          <w:lang w:val="fr-FR"/>
        </w:rPr>
        <w:t>passé</w:t>
      </w:r>
      <w:r w:rsidRPr="00A86354" w:rsidR="001B42B3">
        <w:rPr>
          <w:rFonts w:cs="Arial"/>
          <w:lang w:val="fr-FR"/>
        </w:rPr>
        <w:t xml:space="preserve"> à</w:t>
      </w:r>
      <w:r w:rsidRPr="00A86354">
        <w:rPr>
          <w:rFonts w:cs="Arial"/>
          <w:lang w:val="fr-FR"/>
        </w:rPr>
        <w:t xml:space="preserve"> 106</w:t>
      </w:r>
      <w:r w:rsidRPr="00A86354" w:rsidR="00946AFF">
        <w:rPr>
          <w:rFonts w:cs="Arial"/>
          <w:lang w:val="fr-FR"/>
        </w:rPr>
        <w:t> </w:t>
      </w:r>
      <w:r w:rsidRPr="00A86354">
        <w:rPr>
          <w:rFonts w:cs="Arial"/>
          <w:lang w:val="fr-FR"/>
        </w:rPr>
        <w:t xml:space="preserve">000 en 2019 et </w:t>
      </w:r>
      <w:r w:rsidRPr="00A86354" w:rsidR="001B42B3">
        <w:rPr>
          <w:rFonts w:cs="Arial"/>
          <w:lang w:val="fr-FR"/>
        </w:rPr>
        <w:t>à</w:t>
      </w:r>
      <w:r w:rsidRPr="00A86354">
        <w:rPr>
          <w:rFonts w:cs="Arial"/>
          <w:lang w:val="fr-FR"/>
        </w:rPr>
        <w:t xml:space="preserve"> 125</w:t>
      </w:r>
      <w:r w:rsidRPr="00A86354" w:rsidR="00946AFF">
        <w:rPr>
          <w:rFonts w:cs="Arial"/>
          <w:lang w:val="fr-FR"/>
        </w:rPr>
        <w:t> </w:t>
      </w:r>
      <w:r w:rsidRPr="00A86354">
        <w:rPr>
          <w:rFonts w:cs="Arial"/>
          <w:lang w:val="fr-FR"/>
        </w:rPr>
        <w:t xml:space="preserve">000 en 2021, soit une </w:t>
      </w:r>
      <w:r w:rsidRPr="00A86354" w:rsidR="001B42B3">
        <w:rPr>
          <w:rFonts w:cs="Arial"/>
          <w:lang w:val="fr-FR"/>
        </w:rPr>
        <w:t>hausse</w:t>
      </w:r>
      <w:r w:rsidRPr="00A86354">
        <w:rPr>
          <w:rFonts w:cs="Arial"/>
          <w:lang w:val="fr-FR"/>
        </w:rPr>
        <w:t xml:space="preserve"> de 45</w:t>
      </w:r>
      <w:r w:rsidRPr="00A86354" w:rsidR="00946AFF">
        <w:rPr>
          <w:rFonts w:cs="Arial"/>
          <w:lang w:val="fr-FR"/>
        </w:rPr>
        <w:t> </w:t>
      </w:r>
      <w:r w:rsidRPr="00A86354">
        <w:rPr>
          <w:rFonts w:cs="Arial"/>
          <w:lang w:val="fr-FR"/>
        </w:rPr>
        <w:t>% entre 201</w:t>
      </w:r>
      <w:r w:rsidRPr="00A86354" w:rsidR="001B42B3">
        <w:rPr>
          <w:rFonts w:cs="Arial"/>
          <w:lang w:val="fr-FR"/>
        </w:rPr>
        <w:t>5</w:t>
      </w:r>
      <w:r w:rsidRPr="00A86354">
        <w:rPr>
          <w:rFonts w:cs="Arial"/>
          <w:lang w:val="fr-FR"/>
        </w:rPr>
        <w:t xml:space="preserve"> et 2021. </w:t>
      </w:r>
      <w:r w:rsidRPr="00A86354" w:rsidR="001B42B3">
        <w:rPr>
          <w:rFonts w:cs="Arial"/>
          <w:lang w:val="fr-FR"/>
        </w:rPr>
        <w:t xml:space="preserve">Toutefois, </w:t>
      </w:r>
      <w:r w:rsidRPr="00A86354" w:rsidR="007F3DC4">
        <w:rPr>
          <w:rFonts w:cs="Arial"/>
          <w:lang w:val="fr-FR"/>
        </w:rPr>
        <w:t xml:space="preserve">en </w:t>
      </w:r>
      <w:r w:rsidRPr="00A86354" w:rsidR="001B42B3">
        <w:rPr>
          <w:rFonts w:cs="Arial"/>
          <w:lang w:val="fr-FR"/>
        </w:rPr>
        <w:t>parallèle,</w:t>
      </w:r>
      <w:r w:rsidRPr="00A86354">
        <w:rPr>
          <w:rFonts w:cs="Arial"/>
          <w:lang w:val="fr-FR"/>
        </w:rPr>
        <w:t xml:space="preserve"> le nombre </w:t>
      </w:r>
      <w:r w:rsidRPr="00A86354" w:rsidR="001B42B3">
        <w:rPr>
          <w:rFonts w:cs="Arial"/>
          <w:lang w:val="fr-FR"/>
        </w:rPr>
        <w:t>d</w:t>
      </w:r>
      <w:r w:rsidRPr="00A86354" w:rsidR="0006032C">
        <w:rPr>
          <w:rFonts w:cs="Arial"/>
          <w:lang w:val="fr-FR"/>
        </w:rPr>
        <w:t>’</w:t>
      </w:r>
      <w:r w:rsidRPr="00A86354" w:rsidR="001B42B3">
        <w:rPr>
          <w:rFonts w:cs="Arial"/>
          <w:lang w:val="fr-FR"/>
        </w:rPr>
        <w:t>élèves</w:t>
      </w:r>
      <w:r w:rsidRPr="00A86354">
        <w:rPr>
          <w:rFonts w:cs="Arial"/>
          <w:lang w:val="fr-FR"/>
        </w:rPr>
        <w:t xml:space="preserve"> handicapés </w:t>
      </w:r>
      <w:r w:rsidRPr="00A86354" w:rsidR="00A311F2">
        <w:rPr>
          <w:rFonts w:cs="Arial"/>
          <w:lang w:val="fr-FR"/>
        </w:rPr>
        <w:t>bénéficiant d</w:t>
      </w:r>
      <w:r w:rsidRPr="00A86354" w:rsidR="0006032C">
        <w:rPr>
          <w:rFonts w:cs="Arial"/>
          <w:lang w:val="fr-FR"/>
        </w:rPr>
        <w:t>’</w:t>
      </w:r>
      <w:r w:rsidRPr="00A86354" w:rsidR="007F3DC4">
        <w:rPr>
          <w:rFonts w:cs="Arial"/>
          <w:lang w:val="fr-FR"/>
        </w:rPr>
        <w:t>u</w:t>
      </w:r>
      <w:r w:rsidRPr="00A86354">
        <w:rPr>
          <w:rFonts w:cs="Arial"/>
          <w:lang w:val="fr-FR"/>
        </w:rPr>
        <w:t>ne notification d</w:t>
      </w:r>
      <w:r w:rsidRPr="00A86354" w:rsidR="0006032C">
        <w:rPr>
          <w:rFonts w:cs="Arial"/>
          <w:lang w:val="fr-FR"/>
        </w:rPr>
        <w:t>’</w:t>
      </w:r>
      <w:r w:rsidRPr="00A86354" w:rsidR="00687821">
        <w:rPr>
          <w:rFonts w:cs="Arial"/>
          <w:lang w:val="fr-FR"/>
        </w:rPr>
        <w:t xml:space="preserve">attribution d’une </w:t>
      </w:r>
      <w:r w:rsidRPr="00A86354">
        <w:rPr>
          <w:rFonts w:cs="Arial"/>
          <w:lang w:val="fr-FR"/>
        </w:rPr>
        <w:t xml:space="preserve">aide humaine (AESH) </w:t>
      </w:r>
      <w:r w:rsidRPr="00A86354" w:rsidR="00A311F2">
        <w:rPr>
          <w:rFonts w:cs="Arial"/>
          <w:lang w:val="fr-FR"/>
        </w:rPr>
        <w:t>délivrée par</w:t>
      </w:r>
      <w:r w:rsidRPr="00A86354" w:rsidR="007F3DC4">
        <w:rPr>
          <w:rFonts w:cs="Arial"/>
          <w:lang w:val="fr-FR"/>
        </w:rPr>
        <w:t xml:space="preserve"> </w:t>
      </w:r>
      <w:r w:rsidRPr="00A86354">
        <w:rPr>
          <w:rFonts w:cs="Arial"/>
          <w:lang w:val="fr-FR"/>
        </w:rPr>
        <w:t xml:space="preserve">la </w:t>
      </w:r>
      <w:r w:rsidRPr="00A86354" w:rsidR="007F3DC4">
        <w:rPr>
          <w:rFonts w:cs="Arial"/>
          <w:lang w:val="fr-FR"/>
        </w:rPr>
        <w:t>c</w:t>
      </w:r>
      <w:r w:rsidRPr="00A86354">
        <w:rPr>
          <w:rFonts w:cs="Arial"/>
          <w:lang w:val="fr-FR"/>
        </w:rPr>
        <w:t xml:space="preserve">ommission des droits et de </w:t>
      </w:r>
      <w:r w:rsidRPr="00A86354" w:rsidR="007F3DC4">
        <w:rPr>
          <w:rFonts w:cs="Arial"/>
          <w:lang w:val="fr-FR"/>
        </w:rPr>
        <w:t>l</w:t>
      </w:r>
      <w:r w:rsidRPr="00A86354" w:rsidR="0006032C">
        <w:rPr>
          <w:rFonts w:cs="Arial"/>
          <w:lang w:val="fr-FR"/>
        </w:rPr>
        <w:t>’</w:t>
      </w:r>
      <w:r w:rsidRPr="00A86354" w:rsidR="007F3DC4">
        <w:rPr>
          <w:rFonts w:cs="Arial"/>
          <w:lang w:val="fr-FR"/>
        </w:rPr>
        <w:t>autonomie</w:t>
      </w:r>
      <w:r w:rsidRPr="00A86354">
        <w:rPr>
          <w:rFonts w:cs="Arial"/>
          <w:lang w:val="fr-FR"/>
        </w:rPr>
        <w:t xml:space="preserve"> des personnes handicapées (CDAPH) </w:t>
      </w:r>
      <w:r w:rsidRPr="00A86354" w:rsidR="001B42B3">
        <w:rPr>
          <w:rFonts w:cs="Arial"/>
          <w:lang w:val="fr-FR"/>
        </w:rPr>
        <w:t>compétente</w:t>
      </w:r>
      <w:r w:rsidRPr="00A86354">
        <w:rPr>
          <w:rFonts w:cs="Arial"/>
          <w:lang w:val="fr-FR"/>
        </w:rPr>
        <w:t xml:space="preserve"> a augmenté de </w:t>
      </w:r>
      <w:r w:rsidRPr="00A86354" w:rsidR="007F3DC4">
        <w:rPr>
          <w:rFonts w:cs="Arial"/>
          <w:lang w:val="fr-FR"/>
        </w:rPr>
        <w:t>façon</w:t>
      </w:r>
      <w:r w:rsidRPr="00A86354">
        <w:rPr>
          <w:rFonts w:cs="Arial"/>
          <w:lang w:val="fr-FR"/>
        </w:rPr>
        <w:t xml:space="preserve"> plus </w:t>
      </w:r>
      <w:r w:rsidRPr="00A86354" w:rsidR="007F3DC4">
        <w:rPr>
          <w:rFonts w:cs="Arial"/>
          <w:lang w:val="fr-FR"/>
        </w:rPr>
        <w:t>importante</w:t>
      </w:r>
      <w:r w:rsidRPr="00A86354" w:rsidR="000807D5">
        <w:rPr>
          <w:rFonts w:cs="Arial"/>
          <w:lang w:val="fr-FR"/>
        </w:rPr>
        <w:t> :</w:t>
      </w:r>
      <w:r w:rsidRPr="00A86354">
        <w:rPr>
          <w:rFonts w:cs="Arial"/>
          <w:lang w:val="fr-FR"/>
        </w:rPr>
        <w:t xml:space="preserve"> alors que ce </w:t>
      </w:r>
      <w:r w:rsidRPr="00A86354" w:rsidR="007F3DC4">
        <w:rPr>
          <w:rFonts w:cs="Arial"/>
          <w:lang w:val="fr-FR"/>
        </w:rPr>
        <w:t>nombre</w:t>
      </w:r>
      <w:r w:rsidRPr="00A86354">
        <w:rPr>
          <w:rFonts w:cs="Arial"/>
          <w:lang w:val="fr-FR"/>
        </w:rPr>
        <w:t xml:space="preserve"> était de 26</w:t>
      </w:r>
      <w:r w:rsidRPr="00A86354" w:rsidR="007F3DC4">
        <w:rPr>
          <w:rFonts w:cs="Arial"/>
          <w:lang w:val="fr-FR"/>
        </w:rPr>
        <w:t> </w:t>
      </w:r>
      <w:r w:rsidRPr="00A86354">
        <w:rPr>
          <w:rFonts w:cs="Arial"/>
          <w:lang w:val="fr-FR"/>
        </w:rPr>
        <w:t>000 en 2006, 122</w:t>
      </w:r>
      <w:r w:rsidRPr="00A86354" w:rsidR="007F3DC4">
        <w:rPr>
          <w:rFonts w:cs="Arial"/>
          <w:lang w:val="fr-FR"/>
        </w:rPr>
        <w:t> </w:t>
      </w:r>
      <w:r w:rsidRPr="00A86354">
        <w:rPr>
          <w:rFonts w:cs="Arial"/>
          <w:lang w:val="fr-FR"/>
        </w:rPr>
        <w:t xml:space="preserve">148 élèves </w:t>
      </w:r>
      <w:r w:rsidRPr="00A86354" w:rsidR="007F3DC4">
        <w:rPr>
          <w:rFonts w:cs="Arial"/>
          <w:lang w:val="fr-FR"/>
        </w:rPr>
        <w:t xml:space="preserve">en 2015 </w:t>
      </w:r>
      <w:r w:rsidRPr="00A86354">
        <w:rPr>
          <w:rFonts w:cs="Arial"/>
          <w:lang w:val="fr-FR"/>
        </w:rPr>
        <w:t>et 213</w:t>
      </w:r>
      <w:r w:rsidRPr="00A86354" w:rsidR="007F3DC4">
        <w:rPr>
          <w:rFonts w:cs="Arial"/>
          <w:lang w:val="fr-FR"/>
        </w:rPr>
        <w:t> </w:t>
      </w:r>
      <w:r w:rsidRPr="00A86354">
        <w:rPr>
          <w:rFonts w:cs="Arial"/>
          <w:lang w:val="fr-FR"/>
        </w:rPr>
        <w:t xml:space="preserve">884 élèves </w:t>
      </w:r>
      <w:r w:rsidRPr="00A86354" w:rsidR="007F3DC4">
        <w:rPr>
          <w:rFonts w:cs="Arial"/>
          <w:lang w:val="fr-FR"/>
        </w:rPr>
        <w:t xml:space="preserve">en 2021 </w:t>
      </w:r>
      <w:r w:rsidRPr="00A86354">
        <w:rPr>
          <w:rFonts w:cs="Arial"/>
          <w:lang w:val="fr-FR"/>
        </w:rPr>
        <w:t xml:space="preserve">ont </w:t>
      </w:r>
      <w:r w:rsidRPr="00A86354" w:rsidR="00A311F2">
        <w:rPr>
          <w:rFonts w:cs="Arial"/>
          <w:lang w:val="fr-FR"/>
        </w:rPr>
        <w:t>bénéficié d</w:t>
      </w:r>
      <w:r w:rsidRPr="00A86354" w:rsidR="0006032C">
        <w:rPr>
          <w:rFonts w:cs="Arial"/>
          <w:lang w:val="fr-FR"/>
        </w:rPr>
        <w:t>’</w:t>
      </w:r>
      <w:r w:rsidRPr="00A86354" w:rsidR="007F3DC4">
        <w:rPr>
          <w:rFonts w:cs="Arial"/>
          <w:lang w:val="fr-FR"/>
        </w:rPr>
        <w:t xml:space="preserve">une notification </w:t>
      </w:r>
      <w:r w:rsidRPr="00A86354" w:rsidR="00687821">
        <w:rPr>
          <w:rFonts w:cs="Arial"/>
          <w:lang w:val="fr-FR"/>
        </w:rPr>
        <w:t xml:space="preserve">d’attribution d’une </w:t>
      </w:r>
      <w:r w:rsidRPr="00A86354" w:rsidR="007F3DC4">
        <w:rPr>
          <w:rFonts w:cs="Arial"/>
          <w:lang w:val="fr-FR"/>
        </w:rPr>
        <w:t xml:space="preserve">aide humaine </w:t>
      </w:r>
      <w:r w:rsidRPr="00A86354" w:rsidR="00A311F2">
        <w:rPr>
          <w:rFonts w:cs="Arial"/>
          <w:lang w:val="fr-FR"/>
        </w:rPr>
        <w:t>délivrée par</w:t>
      </w:r>
      <w:r w:rsidRPr="00A86354" w:rsidR="007F3DC4">
        <w:rPr>
          <w:rFonts w:cs="Arial"/>
          <w:lang w:val="fr-FR"/>
        </w:rPr>
        <w:t xml:space="preserve"> la</w:t>
      </w:r>
      <w:r w:rsidRPr="00A86354">
        <w:rPr>
          <w:rFonts w:cs="Arial"/>
          <w:lang w:val="fr-FR"/>
        </w:rPr>
        <w:t xml:space="preserve"> CDAPH</w:t>
      </w:r>
      <w:r w:rsidRPr="00A86354" w:rsidR="00971A0A">
        <w:rPr>
          <w:rFonts w:cs="Arial"/>
          <w:lang w:val="fr-FR"/>
        </w:rPr>
        <w:t>, soit une</w:t>
      </w:r>
      <w:r w:rsidRPr="00A86354" w:rsidR="007F3DC4">
        <w:rPr>
          <w:rFonts w:cs="Arial"/>
          <w:lang w:val="fr-FR"/>
        </w:rPr>
        <w:t xml:space="preserve"> hausse de 75 %</w:t>
      </w:r>
      <w:r w:rsidRPr="00A86354">
        <w:rPr>
          <w:rFonts w:cs="Arial"/>
          <w:lang w:val="fr-FR"/>
        </w:rPr>
        <w:t xml:space="preserve"> entre 2015 et 2021</w:t>
      </w:r>
      <w:r w:rsidRPr="00A86354" w:rsidR="007F3DC4">
        <w:rPr>
          <w:rFonts w:cs="Arial"/>
          <w:lang w:val="fr-FR"/>
        </w:rPr>
        <w:t xml:space="preserve">. </w:t>
      </w:r>
      <w:r w:rsidRPr="00A86354">
        <w:rPr>
          <w:rFonts w:cs="Arial"/>
          <w:lang w:val="fr-FR"/>
        </w:rPr>
        <w:t>Le Comité constate également qu</w:t>
      </w:r>
      <w:r w:rsidRPr="00A86354" w:rsidR="0006032C">
        <w:rPr>
          <w:rFonts w:cs="Arial"/>
          <w:lang w:val="fr-FR"/>
        </w:rPr>
        <w:t>’</w:t>
      </w:r>
      <w:r w:rsidRPr="00A86354">
        <w:rPr>
          <w:rFonts w:cs="Arial"/>
          <w:lang w:val="fr-FR"/>
        </w:rPr>
        <w:t xml:space="preserve">au cours de la même période, les besoins </w:t>
      </w:r>
      <w:r w:rsidRPr="00A86354" w:rsidR="00617C99">
        <w:rPr>
          <w:rFonts w:cs="Arial"/>
          <w:lang w:val="fr-FR"/>
        </w:rPr>
        <w:t>d</w:t>
      </w:r>
      <w:r w:rsidRPr="00A86354" w:rsidR="0006032C">
        <w:rPr>
          <w:rFonts w:cs="Arial"/>
          <w:lang w:val="fr-FR"/>
        </w:rPr>
        <w:t>’</w:t>
      </w:r>
      <w:r w:rsidRPr="00A86354" w:rsidR="00617C99">
        <w:rPr>
          <w:rFonts w:cs="Arial"/>
          <w:lang w:val="fr-FR"/>
        </w:rPr>
        <w:t>aide</w:t>
      </w:r>
      <w:r w:rsidRPr="00A86354">
        <w:rPr>
          <w:rFonts w:cs="Arial"/>
          <w:lang w:val="fr-FR"/>
        </w:rPr>
        <w:t xml:space="preserve"> humain</w:t>
      </w:r>
      <w:r w:rsidRPr="00A86354" w:rsidR="00617C99">
        <w:rPr>
          <w:rFonts w:cs="Arial"/>
          <w:lang w:val="fr-FR"/>
        </w:rPr>
        <w:t>e</w:t>
      </w:r>
      <w:r w:rsidRPr="00A86354">
        <w:rPr>
          <w:rFonts w:cs="Arial"/>
          <w:lang w:val="fr-FR"/>
        </w:rPr>
        <w:t xml:space="preserve"> identifiés par l</w:t>
      </w:r>
      <w:r w:rsidRPr="00A86354" w:rsidR="00617C99">
        <w:rPr>
          <w:rFonts w:cs="Arial"/>
          <w:lang w:val="fr-FR"/>
        </w:rPr>
        <w:t>a</w:t>
      </w:r>
      <w:r w:rsidRPr="00A86354">
        <w:rPr>
          <w:rFonts w:cs="Arial"/>
          <w:lang w:val="fr-FR"/>
        </w:rPr>
        <w:t xml:space="preserve"> CDAPH ont augmenté </w:t>
      </w:r>
      <w:r w:rsidRPr="00A86354" w:rsidR="00617C99">
        <w:rPr>
          <w:rFonts w:cs="Arial"/>
          <w:lang w:val="fr-FR"/>
        </w:rPr>
        <w:t>par rapport</w:t>
      </w:r>
      <w:r w:rsidRPr="00A86354">
        <w:rPr>
          <w:rFonts w:cs="Arial"/>
          <w:lang w:val="fr-FR"/>
        </w:rPr>
        <w:t xml:space="preserve"> au nombre total </w:t>
      </w:r>
      <w:r w:rsidRPr="00A86354" w:rsidR="00617C99">
        <w:rPr>
          <w:rFonts w:cs="Arial"/>
          <w:lang w:val="fr-FR"/>
        </w:rPr>
        <w:t>d</w:t>
      </w:r>
      <w:r w:rsidRPr="00A86354" w:rsidR="0006032C">
        <w:rPr>
          <w:rFonts w:cs="Arial"/>
          <w:lang w:val="fr-FR"/>
        </w:rPr>
        <w:t>’</w:t>
      </w:r>
      <w:r w:rsidRPr="00A86354" w:rsidR="00617C99">
        <w:rPr>
          <w:rFonts w:cs="Arial"/>
          <w:lang w:val="fr-FR"/>
        </w:rPr>
        <w:t>élèves</w:t>
      </w:r>
      <w:r w:rsidRPr="00A86354">
        <w:rPr>
          <w:rFonts w:cs="Arial"/>
          <w:lang w:val="fr-FR"/>
        </w:rPr>
        <w:t xml:space="preserve"> handicapés</w:t>
      </w:r>
      <w:r w:rsidRPr="00A86354" w:rsidR="000807D5">
        <w:rPr>
          <w:rFonts w:cs="Arial"/>
          <w:lang w:val="fr-FR"/>
        </w:rPr>
        <w:t> :</w:t>
      </w:r>
      <w:r w:rsidRPr="00A86354">
        <w:rPr>
          <w:rFonts w:cs="Arial"/>
          <w:lang w:val="fr-FR"/>
        </w:rPr>
        <w:t xml:space="preserve"> alors qu</w:t>
      </w:r>
      <w:r w:rsidRPr="00A86354" w:rsidR="0006032C">
        <w:rPr>
          <w:rFonts w:cs="Arial"/>
          <w:lang w:val="fr-FR"/>
        </w:rPr>
        <w:t>’</w:t>
      </w:r>
      <w:r w:rsidRPr="00A86354">
        <w:rPr>
          <w:rFonts w:cs="Arial"/>
          <w:lang w:val="fr-FR"/>
        </w:rPr>
        <w:t>en 2015, 45</w:t>
      </w:r>
      <w:r w:rsidRPr="00A86354" w:rsidR="00617C99">
        <w:rPr>
          <w:rFonts w:cs="Arial"/>
          <w:lang w:val="fr-FR"/>
        </w:rPr>
        <w:t> </w:t>
      </w:r>
      <w:r w:rsidRPr="00A86354">
        <w:rPr>
          <w:rFonts w:cs="Arial"/>
          <w:lang w:val="fr-FR"/>
        </w:rPr>
        <w:t xml:space="preserve">% </w:t>
      </w:r>
      <w:r w:rsidRPr="00A86354" w:rsidR="00617C99">
        <w:rPr>
          <w:rFonts w:cs="Arial"/>
          <w:lang w:val="fr-FR"/>
        </w:rPr>
        <w:t>des</w:t>
      </w:r>
      <w:r w:rsidRPr="00A86354">
        <w:rPr>
          <w:rFonts w:cs="Arial"/>
          <w:lang w:val="fr-FR"/>
        </w:rPr>
        <w:t xml:space="preserve"> 280</w:t>
      </w:r>
      <w:r w:rsidRPr="00A86354" w:rsidR="00617C99">
        <w:rPr>
          <w:rFonts w:cs="Arial"/>
          <w:lang w:val="fr-FR"/>
        </w:rPr>
        <w:t> </w:t>
      </w:r>
      <w:r w:rsidRPr="00A86354">
        <w:rPr>
          <w:rFonts w:cs="Arial"/>
          <w:lang w:val="fr-FR"/>
        </w:rPr>
        <w:t xml:space="preserve">000 </w:t>
      </w:r>
      <w:r w:rsidRPr="00A86354" w:rsidR="00617C99">
        <w:rPr>
          <w:rFonts w:cs="Arial"/>
          <w:lang w:val="fr-FR"/>
        </w:rPr>
        <w:t>élèves en situation de handicap</w:t>
      </w:r>
      <w:r w:rsidRPr="00A86354">
        <w:rPr>
          <w:rFonts w:cs="Arial"/>
          <w:lang w:val="fr-FR"/>
        </w:rPr>
        <w:t xml:space="preserve"> ont </w:t>
      </w:r>
      <w:r w:rsidRPr="00A86354" w:rsidR="00971A0A">
        <w:rPr>
          <w:rFonts w:cs="Arial"/>
          <w:lang w:val="fr-FR"/>
        </w:rPr>
        <w:t>bénéficié d</w:t>
      </w:r>
      <w:r w:rsidRPr="00A86354" w:rsidR="0006032C">
        <w:rPr>
          <w:rFonts w:cs="Arial"/>
          <w:lang w:val="fr-FR"/>
        </w:rPr>
        <w:t>’</w:t>
      </w:r>
      <w:r w:rsidRPr="00A86354" w:rsidR="00971A0A">
        <w:rPr>
          <w:rFonts w:cs="Arial"/>
          <w:lang w:val="fr-FR"/>
        </w:rPr>
        <w:t xml:space="preserve">une </w:t>
      </w:r>
      <w:r w:rsidRPr="00A86354" w:rsidR="00617C99">
        <w:rPr>
          <w:rFonts w:cs="Arial"/>
          <w:lang w:val="fr-FR"/>
        </w:rPr>
        <w:t xml:space="preserve">notification </w:t>
      </w:r>
      <w:r w:rsidRPr="00A86354" w:rsidR="00185939">
        <w:rPr>
          <w:rFonts w:cs="Arial"/>
          <w:lang w:val="fr-FR"/>
        </w:rPr>
        <w:t>d</w:t>
      </w:r>
      <w:r w:rsidRPr="00A86354" w:rsidR="0006032C">
        <w:rPr>
          <w:rFonts w:cs="Arial"/>
          <w:lang w:val="fr-FR"/>
        </w:rPr>
        <w:t>’</w:t>
      </w:r>
      <w:r w:rsidRPr="00A86354" w:rsidR="00185939">
        <w:rPr>
          <w:rFonts w:cs="Arial"/>
          <w:lang w:val="fr-FR"/>
        </w:rPr>
        <w:t>attribution</w:t>
      </w:r>
      <w:r w:rsidRPr="00A86354" w:rsidR="00971A0A">
        <w:rPr>
          <w:rFonts w:cs="Arial"/>
          <w:lang w:val="fr-FR"/>
        </w:rPr>
        <w:t xml:space="preserve"> d</w:t>
      </w:r>
      <w:r w:rsidRPr="00A86354" w:rsidR="0006032C">
        <w:rPr>
          <w:rFonts w:cs="Arial"/>
          <w:lang w:val="fr-FR"/>
        </w:rPr>
        <w:t>’</w:t>
      </w:r>
      <w:r w:rsidRPr="00A86354" w:rsidR="00971A0A">
        <w:rPr>
          <w:rFonts w:cs="Arial"/>
          <w:lang w:val="fr-FR"/>
        </w:rPr>
        <w:t>un AESH</w:t>
      </w:r>
      <w:r w:rsidRPr="00A86354">
        <w:rPr>
          <w:rFonts w:cs="Arial"/>
          <w:lang w:val="fr-FR"/>
        </w:rPr>
        <w:t xml:space="preserve">, ce </w:t>
      </w:r>
      <w:r w:rsidRPr="00A86354" w:rsidR="00971A0A">
        <w:rPr>
          <w:rFonts w:cs="Arial"/>
          <w:lang w:val="fr-FR"/>
        </w:rPr>
        <w:t>taux</w:t>
      </w:r>
      <w:r w:rsidRPr="00A86354">
        <w:rPr>
          <w:rFonts w:cs="Arial"/>
          <w:lang w:val="fr-FR"/>
        </w:rPr>
        <w:t xml:space="preserve"> était de 58</w:t>
      </w:r>
      <w:r w:rsidRPr="00A86354" w:rsidR="00617C99">
        <w:rPr>
          <w:rFonts w:cs="Arial"/>
          <w:lang w:val="fr-FR"/>
        </w:rPr>
        <w:t> </w:t>
      </w:r>
      <w:r w:rsidRPr="00A86354">
        <w:rPr>
          <w:rFonts w:cs="Arial"/>
          <w:lang w:val="fr-FR"/>
        </w:rPr>
        <w:t>% en 2020 (pour un total de 386</w:t>
      </w:r>
      <w:r w:rsidRPr="00A86354" w:rsidR="00946AFF">
        <w:rPr>
          <w:rFonts w:cs="Arial"/>
          <w:lang w:val="fr-FR"/>
        </w:rPr>
        <w:t> </w:t>
      </w:r>
      <w:r w:rsidRPr="00A86354">
        <w:rPr>
          <w:rFonts w:cs="Arial"/>
          <w:lang w:val="fr-FR"/>
        </w:rPr>
        <w:t xml:space="preserve">500 </w:t>
      </w:r>
      <w:r w:rsidRPr="00A86354" w:rsidR="00617C99">
        <w:rPr>
          <w:rFonts w:cs="Arial"/>
          <w:lang w:val="fr-FR"/>
        </w:rPr>
        <w:t>élèves en situation de handicap</w:t>
      </w:r>
      <w:r w:rsidRPr="00A86354">
        <w:rPr>
          <w:rFonts w:cs="Arial"/>
          <w:lang w:val="fr-FR"/>
        </w:rPr>
        <w:t>).</w:t>
      </w:r>
    </w:p>
    <w:p w:rsidRPr="00A86354" w:rsidR="001723FB" w:rsidP="00A6186D" w:rsidRDefault="001723FB" w14:paraId="4FB1EF31" w14:textId="77777777">
      <w:pPr>
        <w:pStyle w:val="ListParagraph"/>
        <w:rPr>
          <w:rFonts w:cs="Arial"/>
          <w:lang w:val="fr-FR"/>
        </w:rPr>
      </w:pPr>
    </w:p>
    <w:p w:rsidRPr="00A86354" w:rsidR="0044200D" w:rsidP="00CE016A" w:rsidRDefault="00A6186D" w14:paraId="74662BED" w14:textId="5321DF7A">
      <w:pPr>
        <w:pStyle w:val="ListParagraph"/>
        <w:numPr>
          <w:ilvl w:val="0"/>
          <w:numId w:val="1"/>
        </w:numPr>
        <w:ind w:left="0" w:firstLine="0"/>
        <w:rPr>
          <w:rFonts w:cs="Arial"/>
          <w:lang w:val="fr-FR"/>
        </w:rPr>
      </w:pPr>
      <w:r w:rsidRPr="00A86354">
        <w:rPr>
          <w:rFonts w:cs="Arial"/>
          <w:lang w:val="fr-FR"/>
        </w:rPr>
        <w:lastRenderedPageBreak/>
        <w:t>Le Comité constate que l</w:t>
      </w:r>
      <w:r w:rsidRPr="00A86354" w:rsidR="0074445A">
        <w:rPr>
          <w:rFonts w:cs="Arial"/>
          <w:lang w:val="fr-FR"/>
        </w:rPr>
        <w:t>es effectifs insuffisants d</w:t>
      </w:r>
      <w:r w:rsidRPr="00A86354" w:rsidR="0006032C">
        <w:rPr>
          <w:rFonts w:cs="Arial"/>
          <w:lang w:val="fr-FR"/>
        </w:rPr>
        <w:t>’</w:t>
      </w:r>
      <w:r w:rsidRPr="00A86354" w:rsidR="0074445A">
        <w:rPr>
          <w:rFonts w:cs="Arial"/>
          <w:lang w:val="fr-FR"/>
        </w:rPr>
        <w:t xml:space="preserve">AESH et le nombre croissant de notifications </w:t>
      </w:r>
      <w:r w:rsidRPr="00A86354" w:rsidR="00185939">
        <w:rPr>
          <w:rFonts w:cs="Arial"/>
          <w:lang w:val="fr-FR"/>
        </w:rPr>
        <w:t>d</w:t>
      </w:r>
      <w:r w:rsidRPr="00A86354" w:rsidR="0006032C">
        <w:rPr>
          <w:rFonts w:cs="Arial"/>
          <w:lang w:val="fr-FR"/>
        </w:rPr>
        <w:t>’</w:t>
      </w:r>
      <w:r w:rsidRPr="00A86354" w:rsidR="00185939">
        <w:rPr>
          <w:rFonts w:cs="Arial"/>
          <w:lang w:val="fr-FR"/>
        </w:rPr>
        <w:t xml:space="preserve">attribution </w:t>
      </w:r>
      <w:r w:rsidRPr="00A86354" w:rsidR="0074445A">
        <w:rPr>
          <w:rFonts w:cs="Arial"/>
          <w:lang w:val="fr-FR"/>
        </w:rPr>
        <w:t>d</w:t>
      </w:r>
      <w:r w:rsidRPr="00A86354" w:rsidR="0006032C">
        <w:rPr>
          <w:rFonts w:cs="Arial"/>
          <w:lang w:val="fr-FR"/>
        </w:rPr>
        <w:t>’</w:t>
      </w:r>
      <w:r w:rsidRPr="00A86354" w:rsidR="0074445A">
        <w:rPr>
          <w:rFonts w:cs="Arial"/>
          <w:lang w:val="fr-FR"/>
        </w:rPr>
        <w:t>un AESH délivrées par la CDAPH qui ne sont pas mises en œuvre (ou qui le sont uniquement pour de courtes périodes) constituent u</w:t>
      </w:r>
      <w:r w:rsidRPr="00A86354" w:rsidR="00ED5701">
        <w:rPr>
          <w:rFonts w:cs="Arial"/>
          <w:lang w:val="fr-FR"/>
        </w:rPr>
        <w:t>n problème récurrent et persista</w:t>
      </w:r>
      <w:r w:rsidRPr="00A86354" w:rsidR="0074445A">
        <w:rPr>
          <w:rFonts w:cs="Arial"/>
          <w:lang w:val="fr-FR"/>
        </w:rPr>
        <w:t>nt depuis de nombreuses années.</w:t>
      </w:r>
    </w:p>
    <w:p w:rsidRPr="00A86354" w:rsidR="005F25E1" w:rsidP="00CE016A" w:rsidRDefault="00A6186D" w14:paraId="46A00E7F" w14:textId="18393D96">
      <w:pPr>
        <w:numPr>
          <w:ilvl w:val="0"/>
          <w:numId w:val="1"/>
        </w:numPr>
        <w:ind w:left="0" w:firstLine="0"/>
        <w:rPr>
          <w:rFonts w:ascii="Arial" w:hAnsi="Arial" w:cs="Arial"/>
          <w:lang w:val="fr-FR"/>
        </w:rPr>
      </w:pPr>
      <w:r w:rsidRPr="00A86354">
        <w:rPr>
          <w:rFonts w:ascii="Arial" w:hAnsi="Arial" w:cs="Arial"/>
          <w:lang w:val="fr-FR"/>
        </w:rPr>
        <w:t xml:space="preserve">Le faible nombre d'AESH est un problème récurrent en France. Des sources nationales (par exemple, le rapport n° 4899 de 2022 de l'Assemblée nationale pour la </w:t>
      </w:r>
      <w:r w:rsidRPr="00A86354" w:rsidR="00687821">
        <w:rPr>
          <w:rFonts w:ascii="Arial" w:hAnsi="Arial" w:cs="Arial"/>
          <w:lang w:val="fr-FR"/>
        </w:rPr>
        <w:t>c</w:t>
      </w:r>
      <w:r w:rsidRPr="00A86354">
        <w:rPr>
          <w:rFonts w:ascii="Arial" w:hAnsi="Arial" w:cs="Arial"/>
          <w:lang w:val="fr-FR"/>
        </w:rPr>
        <w:t>ommission des affaires culturelles et de l'éducation ; le rapport 2020 du Défenseur des droits) et internationales (par exemple, le rapport 2015 du Commissaire aux droits de l'homme ; le rapport 2019 du rapporteur spécial de l'ONU) soulignent que le nombre insuffisant d'AESH résulte de la précarité de leur statut et de leurs conditions de travail. Selon le rapport n° 4899 de l'Assemblée nationale (Annexe à la proposition de loi visant à lutter contre la précarité des accompagnants des élèves en situation de handicap et des assistants d'éducation, janvier 2022), les lacunes dans la formation initiale et continue des personnels AESH, la difficulté d'accès à des emplois stables et le très faible niveau de rémunération, rendent ces fonctions peu attractives et constituent des obstacles à la professionnalisation de ceux qui les exercent.</w:t>
      </w:r>
    </w:p>
    <w:p w:rsidRPr="00A86354" w:rsidR="00A6186D" w:rsidP="00A6186D" w:rsidRDefault="00A6186D" w14:paraId="4372340E" w14:textId="60007DEE">
      <w:pPr>
        <w:pStyle w:val="ListParagraph"/>
        <w:rPr>
          <w:rFonts w:cs="Arial"/>
          <w:lang w:val="fr-FR"/>
        </w:rPr>
      </w:pPr>
    </w:p>
    <w:p w:rsidRPr="00A86354" w:rsidR="00A6186D" w:rsidP="00CE016A" w:rsidRDefault="00A6186D" w14:paraId="055102D9" w14:textId="66FC5B9D">
      <w:pPr>
        <w:numPr>
          <w:ilvl w:val="0"/>
          <w:numId w:val="1"/>
        </w:numPr>
        <w:ind w:left="0" w:firstLine="0"/>
        <w:rPr>
          <w:rFonts w:ascii="Arial" w:hAnsi="Arial" w:cs="Arial"/>
          <w:lang w:val="fr-FR"/>
        </w:rPr>
      </w:pPr>
      <w:r w:rsidRPr="00A86354">
        <w:rPr>
          <w:rFonts w:ascii="Arial" w:hAnsi="Arial" w:cs="Arial"/>
          <w:lang w:val="fr-FR"/>
        </w:rPr>
        <w:t xml:space="preserve">Le Comité prend note des mesures prises par le </w:t>
      </w:r>
      <w:r w:rsidRPr="00A86354" w:rsidR="00687821">
        <w:rPr>
          <w:rFonts w:ascii="Arial" w:hAnsi="Arial" w:cs="Arial"/>
          <w:lang w:val="fr-FR"/>
        </w:rPr>
        <w:t>G</w:t>
      </w:r>
      <w:r w:rsidRPr="00A86354">
        <w:rPr>
          <w:rFonts w:ascii="Arial" w:hAnsi="Arial" w:cs="Arial"/>
          <w:lang w:val="fr-FR"/>
        </w:rPr>
        <w:t>ouvernement en juillet 2019. Celles qui revêtent une importance particulière concernaient le recrutement d'AESH en contrat de droit public à durée indéterminée</w:t>
      </w:r>
      <w:r w:rsidRPr="00A86354" w:rsidR="00687821">
        <w:rPr>
          <w:rFonts w:ascii="Arial" w:hAnsi="Arial" w:cs="Arial"/>
          <w:lang w:val="fr-FR"/>
        </w:rPr>
        <w:t xml:space="preserve"> (CDI)</w:t>
      </w:r>
      <w:r w:rsidRPr="00A86354">
        <w:rPr>
          <w:rFonts w:ascii="Arial" w:hAnsi="Arial" w:cs="Arial"/>
          <w:lang w:val="fr-FR"/>
        </w:rPr>
        <w:t xml:space="preserve"> après avoir travaillé six ans en contrat à durée déterminée</w:t>
      </w:r>
      <w:r w:rsidRPr="00A86354" w:rsidR="00687821">
        <w:rPr>
          <w:rFonts w:ascii="Arial" w:hAnsi="Arial" w:cs="Arial"/>
          <w:lang w:val="fr-FR"/>
        </w:rPr>
        <w:t xml:space="preserve"> (CDD)</w:t>
      </w:r>
      <w:r w:rsidRPr="00A86354">
        <w:rPr>
          <w:rFonts w:ascii="Arial" w:hAnsi="Arial" w:cs="Arial"/>
          <w:lang w:val="fr-FR"/>
        </w:rPr>
        <w:t xml:space="preserve">, ainsi que la mise en place d'une formation continue de 60 heures par an visant à améliorer les conditions de travail des AESH et à remédier à leur manque de professionnalisation.  </w:t>
      </w:r>
    </w:p>
    <w:p w:rsidRPr="00A86354" w:rsidR="00A6186D" w:rsidP="00204C2A" w:rsidRDefault="00A6186D" w14:paraId="39B5A6F8" w14:textId="77777777">
      <w:pPr>
        <w:pStyle w:val="ListParagraph"/>
        <w:rPr>
          <w:rFonts w:cs="Arial"/>
          <w:lang w:val="fr-FR"/>
        </w:rPr>
      </w:pPr>
    </w:p>
    <w:p w:rsidRPr="00A86354" w:rsidR="00A6186D" w:rsidP="00CE016A" w:rsidRDefault="00855148" w14:paraId="1DA1CCF6" w14:textId="15824C49">
      <w:pPr>
        <w:pStyle w:val="ListParagraph"/>
        <w:numPr>
          <w:ilvl w:val="0"/>
          <w:numId w:val="1"/>
        </w:numPr>
        <w:ind w:left="0" w:firstLine="0"/>
        <w:rPr>
          <w:rFonts w:cs="Arial"/>
          <w:lang w:val="fr-FR"/>
        </w:rPr>
      </w:pPr>
      <w:r w:rsidRPr="00A86354">
        <w:rPr>
          <w:rFonts w:cs="Arial"/>
          <w:lang w:val="fr-FR"/>
        </w:rPr>
        <w:t>Le Comité note également, d</w:t>
      </w:r>
      <w:r w:rsidRPr="00A86354" w:rsidR="0006032C">
        <w:rPr>
          <w:rFonts w:cs="Arial"/>
          <w:lang w:val="fr-FR"/>
        </w:rPr>
        <w:t>’</w:t>
      </w:r>
      <w:r w:rsidRPr="00A86354">
        <w:rPr>
          <w:rFonts w:cs="Arial"/>
          <w:lang w:val="fr-FR"/>
        </w:rPr>
        <w:t>après les</w:t>
      </w:r>
      <w:r w:rsidRPr="00A86354" w:rsidR="00540E40">
        <w:rPr>
          <w:rFonts w:cs="Arial"/>
          <w:lang w:val="fr-FR"/>
        </w:rPr>
        <w:t xml:space="preserve"> information</w:t>
      </w:r>
      <w:r w:rsidRPr="00A86354">
        <w:rPr>
          <w:rFonts w:cs="Arial"/>
          <w:lang w:val="fr-FR"/>
        </w:rPr>
        <w:t>s fournies par les</w:t>
      </w:r>
      <w:r w:rsidRPr="00A86354" w:rsidR="00540E40">
        <w:rPr>
          <w:rFonts w:cs="Arial"/>
          <w:lang w:val="fr-FR"/>
        </w:rPr>
        <w:t xml:space="preserve"> </w:t>
      </w:r>
      <w:r w:rsidRPr="00A86354" w:rsidR="00E97244">
        <w:rPr>
          <w:rFonts w:cs="Arial"/>
          <w:lang w:val="fr-FR"/>
        </w:rPr>
        <w:t>organisations réclamantes</w:t>
      </w:r>
      <w:r w:rsidRPr="00A86354" w:rsidR="00540E40">
        <w:rPr>
          <w:rFonts w:cs="Arial"/>
          <w:lang w:val="fr-FR"/>
        </w:rPr>
        <w:t xml:space="preserve"> (</w:t>
      </w:r>
      <w:r w:rsidRPr="00A86354" w:rsidR="0002644B">
        <w:rPr>
          <w:rFonts w:cs="Arial"/>
          <w:lang w:val="fr-FR"/>
        </w:rPr>
        <w:t>mais aussi par plusieurs</w:t>
      </w:r>
      <w:r w:rsidRPr="00A86354" w:rsidR="00540E40">
        <w:rPr>
          <w:rFonts w:cs="Arial"/>
          <w:lang w:val="fr-FR"/>
        </w:rPr>
        <w:t xml:space="preserve"> </w:t>
      </w:r>
      <w:r w:rsidRPr="00A86354" w:rsidR="00BD4A72">
        <w:rPr>
          <w:rFonts w:cs="Arial"/>
          <w:lang w:val="fr-FR"/>
        </w:rPr>
        <w:t>sources</w:t>
      </w:r>
      <w:r w:rsidRPr="00A86354" w:rsidR="00540E40">
        <w:rPr>
          <w:rFonts w:cs="Arial"/>
          <w:lang w:val="fr-FR"/>
        </w:rPr>
        <w:t xml:space="preserve"> </w:t>
      </w:r>
      <w:r w:rsidRPr="00A86354" w:rsidR="0002644B">
        <w:rPr>
          <w:rFonts w:cs="Arial"/>
          <w:lang w:val="fr-FR"/>
        </w:rPr>
        <w:t>nationales comme le rapport n° </w:t>
      </w:r>
      <w:r w:rsidRPr="00A86354" w:rsidR="00540E40">
        <w:rPr>
          <w:rFonts w:cs="Arial"/>
          <w:lang w:val="fr-FR"/>
        </w:rPr>
        <w:t xml:space="preserve">4899 </w:t>
      </w:r>
      <w:r w:rsidRPr="00A86354" w:rsidR="0002644B">
        <w:rPr>
          <w:rFonts w:cs="Arial"/>
          <w:lang w:val="fr-FR"/>
        </w:rPr>
        <w:t>de l</w:t>
      </w:r>
      <w:r w:rsidRPr="00A86354" w:rsidR="0006032C">
        <w:rPr>
          <w:rFonts w:cs="Arial"/>
          <w:lang w:val="fr-FR"/>
        </w:rPr>
        <w:t>’</w:t>
      </w:r>
      <w:r w:rsidRPr="00A86354" w:rsidR="00540E40">
        <w:rPr>
          <w:rFonts w:cs="Arial"/>
          <w:lang w:val="fr-FR"/>
        </w:rPr>
        <w:t>Assembl</w:t>
      </w:r>
      <w:r w:rsidRPr="00A86354" w:rsidR="0002644B">
        <w:rPr>
          <w:rFonts w:cs="Arial"/>
          <w:lang w:val="fr-FR"/>
        </w:rPr>
        <w:t>ée nationale</w:t>
      </w:r>
      <w:r w:rsidRPr="00A86354" w:rsidR="00540E40">
        <w:rPr>
          <w:rFonts w:cs="Arial"/>
          <w:lang w:val="fr-FR"/>
        </w:rPr>
        <w:t>),</w:t>
      </w:r>
      <w:r w:rsidRPr="00A86354" w:rsidR="005B0479">
        <w:rPr>
          <w:rFonts w:cs="Arial"/>
          <w:lang w:val="fr-FR"/>
        </w:rPr>
        <w:t xml:space="preserve"> </w:t>
      </w:r>
      <w:r w:rsidRPr="00A86354" w:rsidR="00C54DAA">
        <w:rPr>
          <w:rFonts w:cs="Arial"/>
          <w:lang w:val="fr-FR"/>
        </w:rPr>
        <w:t>que</w:t>
      </w:r>
      <w:r w:rsidRPr="00A86354" w:rsidR="005B0479">
        <w:rPr>
          <w:rFonts w:cs="Arial"/>
          <w:lang w:val="fr-FR"/>
        </w:rPr>
        <w:t xml:space="preserve"> le Gouvernement</w:t>
      </w:r>
      <w:r w:rsidRPr="00A86354" w:rsidR="00C54DAA">
        <w:rPr>
          <w:rFonts w:cs="Arial"/>
          <w:lang w:val="fr-FR"/>
        </w:rPr>
        <w:t xml:space="preserve"> n</w:t>
      </w:r>
      <w:r w:rsidRPr="00A86354" w:rsidR="0006032C">
        <w:rPr>
          <w:rFonts w:cs="Arial"/>
          <w:lang w:val="fr-FR"/>
        </w:rPr>
        <w:t>’</w:t>
      </w:r>
      <w:r w:rsidRPr="00A86354" w:rsidR="00C54DAA">
        <w:rPr>
          <w:rFonts w:cs="Arial"/>
          <w:lang w:val="fr-FR"/>
        </w:rPr>
        <w:t>a pas contestées</w:t>
      </w:r>
      <w:r w:rsidRPr="00A86354" w:rsidR="005B0479">
        <w:rPr>
          <w:rFonts w:cs="Arial"/>
          <w:lang w:val="fr-FR"/>
        </w:rPr>
        <w:t>, que seuls</w:t>
      </w:r>
      <w:r w:rsidRPr="00A86354" w:rsidR="00540E40">
        <w:rPr>
          <w:rFonts w:cs="Arial"/>
          <w:lang w:val="fr-FR"/>
        </w:rPr>
        <w:t xml:space="preserve"> 2</w:t>
      </w:r>
      <w:r w:rsidRPr="00A86354" w:rsidR="005B0479">
        <w:rPr>
          <w:rFonts w:cs="Arial"/>
          <w:lang w:val="fr-FR"/>
        </w:rPr>
        <w:t> </w:t>
      </w:r>
      <w:r w:rsidRPr="00A86354" w:rsidR="00540E40">
        <w:rPr>
          <w:rFonts w:cs="Arial"/>
          <w:lang w:val="fr-FR"/>
        </w:rPr>
        <w:t xml:space="preserve">% </w:t>
      </w:r>
      <w:r w:rsidRPr="00A86354" w:rsidR="005B0479">
        <w:rPr>
          <w:rFonts w:cs="Arial"/>
          <w:lang w:val="fr-FR"/>
        </w:rPr>
        <w:t>des</w:t>
      </w:r>
      <w:r w:rsidRPr="00A86354" w:rsidR="00540E40">
        <w:rPr>
          <w:rFonts w:cs="Arial"/>
          <w:lang w:val="fr-FR"/>
        </w:rPr>
        <w:t xml:space="preserve"> AESH</w:t>
      </w:r>
      <w:r w:rsidRPr="00A86354" w:rsidR="00E0113B">
        <w:rPr>
          <w:rFonts w:cs="Arial"/>
          <w:lang w:val="fr-FR"/>
        </w:rPr>
        <w:t xml:space="preserve"> </w:t>
      </w:r>
      <w:r w:rsidRPr="00A86354" w:rsidR="005B0479">
        <w:rPr>
          <w:rFonts w:cs="Arial"/>
          <w:lang w:val="fr-FR"/>
        </w:rPr>
        <w:t>actuellement en poste disposent d</w:t>
      </w:r>
      <w:r w:rsidRPr="00A86354" w:rsidR="0006032C">
        <w:rPr>
          <w:rFonts w:cs="Arial"/>
          <w:lang w:val="fr-FR"/>
        </w:rPr>
        <w:t>’</w:t>
      </w:r>
      <w:r w:rsidRPr="00A86354" w:rsidR="005B0479">
        <w:rPr>
          <w:rFonts w:cs="Arial"/>
          <w:lang w:val="fr-FR"/>
        </w:rPr>
        <w:t>un</w:t>
      </w:r>
      <w:r w:rsidRPr="00A86354" w:rsidR="005B0479">
        <w:rPr>
          <w:rFonts w:cs="Arial"/>
          <w:b/>
          <w:bCs/>
          <w:lang w:val="fr-FR"/>
        </w:rPr>
        <w:t> </w:t>
      </w:r>
      <w:r w:rsidRPr="00A86354" w:rsidR="005B0479">
        <w:rPr>
          <w:rFonts w:cs="Arial"/>
          <w:bCs/>
          <w:lang w:val="fr-FR"/>
        </w:rPr>
        <w:t>emploi à temps complet</w:t>
      </w:r>
      <w:r w:rsidRPr="00A86354" w:rsidR="005B0479">
        <w:rPr>
          <w:rFonts w:cs="Arial"/>
          <w:lang w:val="fr-FR"/>
        </w:rPr>
        <w:t>, la </w:t>
      </w:r>
      <w:r w:rsidRPr="00A86354" w:rsidR="005B0479">
        <w:rPr>
          <w:rFonts w:cs="Arial"/>
          <w:bCs/>
          <w:lang w:val="fr-FR"/>
        </w:rPr>
        <w:t>quotité horaire moyenne </w:t>
      </w:r>
      <w:r w:rsidRPr="00A86354" w:rsidR="005B0479">
        <w:rPr>
          <w:rFonts w:cs="Arial"/>
          <w:lang w:val="fr-FR"/>
        </w:rPr>
        <w:t>n</w:t>
      </w:r>
      <w:r w:rsidRPr="00A86354" w:rsidR="0006032C">
        <w:rPr>
          <w:rFonts w:cs="Arial"/>
          <w:lang w:val="fr-FR"/>
        </w:rPr>
        <w:t>’</w:t>
      </w:r>
      <w:r w:rsidRPr="00A86354" w:rsidR="005B0479">
        <w:rPr>
          <w:rFonts w:cs="Arial"/>
          <w:lang w:val="fr-FR"/>
        </w:rPr>
        <w:t>étant que de</w:t>
      </w:r>
      <w:r w:rsidRPr="00A86354" w:rsidR="005B0479">
        <w:rPr>
          <w:rFonts w:cs="Arial"/>
          <w:bCs/>
          <w:lang w:val="fr-FR"/>
        </w:rPr>
        <w:t> 62 %</w:t>
      </w:r>
      <w:r w:rsidRPr="00A86354" w:rsidR="00540E40">
        <w:rPr>
          <w:rFonts w:cs="Arial"/>
          <w:lang w:val="fr-FR"/>
        </w:rPr>
        <w:t xml:space="preserve">. </w:t>
      </w:r>
      <w:r w:rsidRPr="00A86354" w:rsidR="005B0479">
        <w:rPr>
          <w:rFonts w:cs="Arial"/>
          <w:lang w:val="fr-FR"/>
        </w:rPr>
        <w:t xml:space="preserve">Par conséquent, </w:t>
      </w:r>
      <w:r w:rsidRPr="00A86354" w:rsidR="00C02F0E">
        <w:rPr>
          <w:rFonts w:cs="Arial"/>
          <w:lang w:val="fr-FR"/>
        </w:rPr>
        <w:t xml:space="preserve">pour apprécier </w:t>
      </w:r>
      <w:r w:rsidRPr="00A86354" w:rsidR="005B0479">
        <w:rPr>
          <w:rFonts w:cs="Arial"/>
          <w:lang w:val="fr-FR"/>
        </w:rPr>
        <w:t>la tendance positive concernant l</w:t>
      </w:r>
      <w:r w:rsidRPr="00A86354" w:rsidR="0006032C">
        <w:rPr>
          <w:rFonts w:cs="Arial"/>
          <w:lang w:val="fr-FR"/>
        </w:rPr>
        <w:t>’</w:t>
      </w:r>
      <w:r w:rsidRPr="00A86354" w:rsidR="005B0479">
        <w:rPr>
          <w:rFonts w:cs="Arial"/>
          <w:lang w:val="fr-FR"/>
        </w:rPr>
        <w:t>augmentation du nombr</w:t>
      </w:r>
      <w:r w:rsidRPr="00A86354" w:rsidR="00C02F0E">
        <w:rPr>
          <w:rFonts w:cs="Arial"/>
          <w:lang w:val="fr-FR"/>
        </w:rPr>
        <w:t>e d</w:t>
      </w:r>
      <w:r w:rsidRPr="00A86354" w:rsidR="0006032C">
        <w:rPr>
          <w:rFonts w:cs="Arial"/>
          <w:lang w:val="fr-FR"/>
        </w:rPr>
        <w:t>’</w:t>
      </w:r>
      <w:r w:rsidRPr="00A86354" w:rsidR="00C02F0E">
        <w:rPr>
          <w:rFonts w:cs="Arial"/>
          <w:lang w:val="fr-FR"/>
        </w:rPr>
        <w:t xml:space="preserve">AESH en </w:t>
      </w:r>
      <w:r w:rsidRPr="00A86354" w:rsidR="00185939">
        <w:rPr>
          <w:rFonts w:cs="Arial"/>
          <w:lang w:val="fr-FR"/>
        </w:rPr>
        <w:t>poste</w:t>
      </w:r>
      <w:r w:rsidRPr="00A86354" w:rsidR="00C02F0E">
        <w:rPr>
          <w:rFonts w:cs="Arial"/>
          <w:lang w:val="fr-FR"/>
        </w:rPr>
        <w:t xml:space="preserve"> depuis 2015, </w:t>
      </w:r>
      <w:r w:rsidRPr="00A86354" w:rsidR="00C54DAA">
        <w:rPr>
          <w:rFonts w:cs="Arial"/>
          <w:lang w:val="fr-FR"/>
        </w:rPr>
        <w:t>il</w:t>
      </w:r>
      <w:r w:rsidRPr="00A86354" w:rsidR="00C02F0E">
        <w:rPr>
          <w:rFonts w:cs="Arial"/>
          <w:lang w:val="fr-FR"/>
        </w:rPr>
        <w:t xml:space="preserve"> convient de tenir compte </w:t>
      </w:r>
      <w:r w:rsidRPr="00A86354" w:rsidR="005B0479">
        <w:rPr>
          <w:rFonts w:cs="Arial"/>
          <w:lang w:val="fr-FR"/>
        </w:rPr>
        <w:t>du fait qu</w:t>
      </w:r>
      <w:r w:rsidRPr="00A86354" w:rsidR="0006032C">
        <w:rPr>
          <w:rFonts w:cs="Arial"/>
          <w:lang w:val="fr-FR"/>
        </w:rPr>
        <w:t>’</w:t>
      </w:r>
      <w:r w:rsidRPr="00A86354" w:rsidR="005B0479">
        <w:rPr>
          <w:rFonts w:cs="Arial"/>
          <w:lang w:val="fr-FR"/>
        </w:rPr>
        <w:t>une grande majorité des AESH travaillent à temps partiel.</w:t>
      </w:r>
      <w:r w:rsidRPr="00A86354" w:rsidR="00540E40">
        <w:rPr>
          <w:rFonts w:cs="Arial"/>
          <w:lang w:val="fr-FR"/>
        </w:rPr>
        <w:t xml:space="preserve"> </w:t>
      </w:r>
      <w:r w:rsidRPr="00A86354" w:rsidR="005B0479">
        <w:rPr>
          <w:rFonts w:cs="Arial"/>
          <w:lang w:val="fr-FR"/>
        </w:rPr>
        <w:t>Le Comité constate</w:t>
      </w:r>
      <w:r w:rsidRPr="00A86354" w:rsidR="00C02F0E">
        <w:rPr>
          <w:rFonts w:cs="Arial"/>
          <w:lang w:val="fr-FR"/>
        </w:rPr>
        <w:t xml:space="preserve"> que</w:t>
      </w:r>
      <w:r w:rsidRPr="00A86354" w:rsidR="005B0479">
        <w:rPr>
          <w:rFonts w:cs="Arial"/>
          <w:lang w:val="fr-FR"/>
        </w:rPr>
        <w:t>, d</w:t>
      </w:r>
      <w:r w:rsidRPr="00A86354" w:rsidR="0006032C">
        <w:rPr>
          <w:rFonts w:cs="Arial"/>
          <w:lang w:val="fr-FR"/>
        </w:rPr>
        <w:t>’</w:t>
      </w:r>
      <w:r w:rsidRPr="00A86354" w:rsidR="00C02F0E">
        <w:rPr>
          <w:rFonts w:cs="Arial"/>
          <w:lang w:val="fr-FR"/>
        </w:rPr>
        <w:t xml:space="preserve">après </w:t>
      </w:r>
      <w:r w:rsidRPr="00A86354" w:rsidR="00A6186D">
        <w:rPr>
          <w:rFonts w:cs="Arial"/>
          <w:lang w:val="fr-FR"/>
        </w:rPr>
        <w:t>c</w:t>
      </w:r>
      <w:r w:rsidRPr="00A86354" w:rsidR="00C02F0E">
        <w:rPr>
          <w:rFonts w:cs="Arial"/>
          <w:lang w:val="fr-FR"/>
        </w:rPr>
        <w:t xml:space="preserve">es sources, </w:t>
      </w:r>
      <w:r w:rsidRPr="00A86354" w:rsidR="005B0479">
        <w:rPr>
          <w:rFonts w:cs="Arial"/>
          <w:lang w:val="fr-FR"/>
        </w:rPr>
        <w:t>seuls</w:t>
      </w:r>
      <w:r w:rsidRPr="00A86354" w:rsidR="005B0479">
        <w:rPr>
          <w:rFonts w:ascii="Times New Roman" w:hAnsi="Times New Roman"/>
          <w:bCs/>
          <w:color w:val="000000"/>
          <w:sz w:val="27"/>
          <w:szCs w:val="27"/>
          <w:lang w:val="fr-FR"/>
        </w:rPr>
        <w:t xml:space="preserve"> </w:t>
      </w:r>
      <w:r w:rsidRPr="00A86354" w:rsidR="005B0479">
        <w:rPr>
          <w:rFonts w:cs="Arial"/>
          <w:bCs/>
          <w:lang w:val="fr-FR"/>
        </w:rPr>
        <w:t>16,3 % des effectifs</w:t>
      </w:r>
      <w:r w:rsidRPr="00A86354" w:rsidR="00C02F0E">
        <w:rPr>
          <w:rFonts w:cs="Arial"/>
          <w:bCs/>
          <w:lang w:val="fr-FR"/>
        </w:rPr>
        <w:t xml:space="preserve"> actuels </w:t>
      </w:r>
      <w:r w:rsidRPr="00A86354" w:rsidR="005B0479">
        <w:rPr>
          <w:rFonts w:cs="Arial"/>
          <w:bCs/>
          <w:lang w:val="fr-FR"/>
        </w:rPr>
        <w:t>d</w:t>
      </w:r>
      <w:r w:rsidRPr="00A86354" w:rsidR="0006032C">
        <w:rPr>
          <w:rFonts w:cs="Arial"/>
          <w:bCs/>
          <w:lang w:val="fr-FR"/>
        </w:rPr>
        <w:t>’</w:t>
      </w:r>
      <w:r w:rsidRPr="00A86354" w:rsidR="005B0479">
        <w:rPr>
          <w:rFonts w:cs="Arial"/>
          <w:bCs/>
          <w:lang w:val="fr-FR"/>
        </w:rPr>
        <w:t>AESH sont employés en CDI</w:t>
      </w:r>
      <w:r w:rsidRPr="00A86354" w:rsidR="005B0479">
        <w:rPr>
          <w:rFonts w:cs="Arial"/>
          <w:lang w:val="fr-FR"/>
        </w:rPr>
        <w:t>, contre </w:t>
      </w:r>
      <w:r w:rsidRPr="00A86354" w:rsidR="005B0479">
        <w:rPr>
          <w:rFonts w:cs="Arial"/>
          <w:bCs/>
          <w:lang w:val="fr-FR"/>
        </w:rPr>
        <w:t>83,7 % en CDD</w:t>
      </w:r>
      <w:r w:rsidRPr="00A86354" w:rsidR="00540E40">
        <w:rPr>
          <w:rFonts w:cs="Arial"/>
          <w:lang w:val="fr-FR"/>
        </w:rPr>
        <w:t xml:space="preserve">. </w:t>
      </w:r>
      <w:r w:rsidRPr="00A86354" w:rsidR="00C02F0E">
        <w:rPr>
          <w:rFonts w:cs="Arial"/>
          <w:lang w:val="fr-FR"/>
        </w:rPr>
        <w:t>La rémunération moyenne des</w:t>
      </w:r>
      <w:r w:rsidRPr="00A86354" w:rsidR="00E0113B">
        <w:rPr>
          <w:rFonts w:cs="Arial"/>
          <w:lang w:val="fr-FR"/>
        </w:rPr>
        <w:t xml:space="preserve"> AESH </w:t>
      </w:r>
      <w:r w:rsidRPr="00A86354" w:rsidR="00C02F0E">
        <w:rPr>
          <w:rFonts w:cs="Arial"/>
          <w:lang w:val="fr-FR"/>
        </w:rPr>
        <w:t>n</w:t>
      </w:r>
      <w:r w:rsidRPr="00A86354" w:rsidR="0006032C">
        <w:rPr>
          <w:rFonts w:cs="Arial"/>
          <w:lang w:val="fr-FR"/>
        </w:rPr>
        <w:t>’</w:t>
      </w:r>
      <w:r w:rsidRPr="00A86354" w:rsidR="00C02F0E">
        <w:rPr>
          <w:rFonts w:cs="Arial"/>
          <w:lang w:val="fr-FR"/>
        </w:rPr>
        <w:t>est ainsi</w:t>
      </w:r>
      <w:r w:rsidRPr="00A86354" w:rsidR="00BE6062">
        <w:rPr>
          <w:rFonts w:cs="Arial"/>
          <w:lang w:val="fr-FR"/>
        </w:rPr>
        <w:t>, en pratique,</w:t>
      </w:r>
      <w:r w:rsidRPr="00A86354" w:rsidR="00C02F0E">
        <w:rPr>
          <w:rFonts w:cs="Arial"/>
          <w:lang w:val="fr-FR"/>
        </w:rPr>
        <w:t xml:space="preserve"> que de 760 </w:t>
      </w:r>
      <w:r w:rsidRPr="00A86354" w:rsidR="00E245AA">
        <w:rPr>
          <w:rFonts w:cs="Arial"/>
          <w:lang w:val="fr-FR"/>
        </w:rPr>
        <w:t>EUR</w:t>
      </w:r>
      <w:r w:rsidRPr="00A86354" w:rsidR="00C02F0E">
        <w:rPr>
          <w:rFonts w:cs="Arial"/>
          <w:lang w:val="fr-FR"/>
        </w:rPr>
        <w:t xml:space="preserve"> par mois</w:t>
      </w:r>
      <w:r w:rsidRPr="00A86354" w:rsidR="00C54DAA">
        <w:rPr>
          <w:rFonts w:cs="Arial"/>
          <w:lang w:val="fr-FR"/>
        </w:rPr>
        <w:t>.</w:t>
      </w:r>
    </w:p>
    <w:p w:rsidRPr="00A86354" w:rsidR="00A6186D" w:rsidP="00A6186D" w:rsidRDefault="00A6186D" w14:paraId="42B53B5A" w14:textId="77777777">
      <w:pPr>
        <w:pStyle w:val="ListParagraph"/>
        <w:rPr>
          <w:rFonts w:cs="Arial"/>
          <w:lang w:val="fr-FR"/>
        </w:rPr>
      </w:pPr>
    </w:p>
    <w:p w:rsidRPr="00A86354" w:rsidR="00A6186D" w:rsidP="00CE016A" w:rsidRDefault="00A6186D" w14:paraId="137804B4" w14:textId="7A5371BF">
      <w:pPr>
        <w:pStyle w:val="ListParagraph"/>
        <w:numPr>
          <w:ilvl w:val="0"/>
          <w:numId w:val="1"/>
        </w:numPr>
        <w:ind w:left="0" w:firstLine="0"/>
        <w:rPr>
          <w:rFonts w:cs="Arial"/>
          <w:lang w:val="fr-FR"/>
        </w:rPr>
      </w:pPr>
      <w:r w:rsidRPr="00A86354">
        <w:rPr>
          <w:rFonts w:cs="Arial"/>
          <w:lang w:val="fr-FR"/>
        </w:rPr>
        <w:t>Afin de remédier à l’insuffisance de postes d’AESH, le Gouvernement a lancé, à compter de la rentrée 2018, des « pôles inclusifs d’accompagnement localisés » (PIAL) permettant de positionner les accompagnants au sein de l’équipe pédagogique. Ainsi, dans les cas où la CDAPH décide d’une</w:t>
      </w:r>
      <w:r w:rsidRPr="00A86354" w:rsidR="00687821">
        <w:rPr>
          <w:rFonts w:cs="Arial"/>
          <w:lang w:val="fr-FR"/>
        </w:rPr>
        <w:t xml:space="preserve"> </w:t>
      </w:r>
      <w:r w:rsidRPr="00A86354">
        <w:rPr>
          <w:rFonts w:cs="Arial"/>
          <w:bCs/>
          <w:lang w:val="fr-FR"/>
        </w:rPr>
        <w:t>aide mutualisée</w:t>
      </w:r>
      <w:r w:rsidRPr="00A86354">
        <w:rPr>
          <w:rFonts w:cs="Arial"/>
          <w:lang w:val="fr-FR"/>
        </w:rPr>
        <w:t xml:space="preserve">, un AESH s’occupe simultanément de plusieurs élèves handicapés. Le Comité note, d’après des sources nationales (telles que le rapport n° 4899 de l’Assemblée nationale), que, bien que l’aide mutualisée permette au nombre limité d’AESH de pouvoir désormais accompagner un plus grand nombre d’élèves handicapés, en pratique, les AESH doivent intervenir au sein de plusieurs établissements, ce qui leur impose des déplacements quotidiens et entraîne une prise en charge dégradée des élèves. Il relève aussi que, dans le cadre du dispositif de l’aide mutualisée, les AESH peuvent être responsables de plusieurs élèves dont les handicaps sont différents, et le Gouvernement n’a soumis aucune information portant spécifiquement sur la </w:t>
      </w:r>
      <w:r w:rsidRPr="00A86354">
        <w:rPr>
          <w:rFonts w:cs="Arial"/>
          <w:lang w:val="fr-FR"/>
        </w:rPr>
        <w:lastRenderedPageBreak/>
        <w:t xml:space="preserve">question de savoir si, dans le cadre du dispositif de l’aide mutualisée, les AESH reçoivent une formation suffisante concernant l’aide humaine dans le contexte de handicaps différents. Il note l’observation de la CNCDH selon laquelle la formation des AESH déjà en poste dépend de leur initiative personnelle et non d’une formation professionnelle dûment organisée.  </w:t>
      </w:r>
    </w:p>
    <w:p w:rsidRPr="00A86354" w:rsidR="00A6186D" w:rsidP="00204C2A" w:rsidRDefault="00A6186D" w14:paraId="2122FBAE" w14:textId="77777777">
      <w:pPr>
        <w:pStyle w:val="ListParagraph"/>
        <w:rPr>
          <w:rFonts w:cs="Arial"/>
          <w:lang w:val="fr-FR"/>
        </w:rPr>
      </w:pPr>
    </w:p>
    <w:p w:rsidRPr="00A86354" w:rsidR="000F3CC7" w:rsidP="00CE016A" w:rsidRDefault="00E97244" w14:paraId="7130D480" w14:textId="17F01B18">
      <w:pPr>
        <w:pStyle w:val="ListParagraph"/>
        <w:numPr>
          <w:ilvl w:val="0"/>
          <w:numId w:val="1"/>
        </w:numPr>
        <w:ind w:left="0" w:firstLine="0"/>
        <w:rPr>
          <w:rFonts w:cs="Arial"/>
          <w:lang w:val="fr-FR"/>
        </w:rPr>
      </w:pPr>
      <w:r w:rsidRPr="00A86354">
        <w:rPr>
          <w:rFonts w:cs="Arial"/>
          <w:lang w:val="fr-FR"/>
        </w:rPr>
        <w:t>Le Comité note</w:t>
      </w:r>
      <w:r w:rsidRPr="00A86354" w:rsidR="000F3CC7">
        <w:rPr>
          <w:rFonts w:cs="Arial"/>
          <w:lang w:val="fr-FR"/>
        </w:rPr>
        <w:t xml:space="preserve"> </w:t>
      </w:r>
      <w:r w:rsidRPr="00A86354" w:rsidR="007F58E0">
        <w:rPr>
          <w:rFonts w:cs="Arial"/>
          <w:lang w:val="fr-FR"/>
        </w:rPr>
        <w:t>que ni les organisations réclamantes ni le Gouvernement n</w:t>
      </w:r>
      <w:r w:rsidRPr="00A86354" w:rsidR="0006032C">
        <w:rPr>
          <w:rFonts w:cs="Arial"/>
          <w:lang w:val="fr-FR"/>
        </w:rPr>
        <w:t>’</w:t>
      </w:r>
      <w:r w:rsidRPr="00A86354" w:rsidR="007F58E0">
        <w:rPr>
          <w:rFonts w:cs="Arial"/>
          <w:lang w:val="fr-FR"/>
        </w:rPr>
        <w:t>ont fourni de données chiffrées ou statistiques</w:t>
      </w:r>
      <w:r w:rsidRPr="00A86354" w:rsidR="00F15812">
        <w:rPr>
          <w:rFonts w:cs="Arial"/>
          <w:lang w:val="fr-FR"/>
        </w:rPr>
        <w:t xml:space="preserve"> </w:t>
      </w:r>
      <w:r w:rsidRPr="00A86354" w:rsidR="000F3CC7">
        <w:rPr>
          <w:rFonts w:cs="Arial"/>
          <w:lang w:val="fr-FR"/>
        </w:rPr>
        <w:t>concern</w:t>
      </w:r>
      <w:r w:rsidRPr="00A86354" w:rsidR="007F58E0">
        <w:rPr>
          <w:rFonts w:cs="Arial"/>
          <w:lang w:val="fr-FR"/>
        </w:rPr>
        <w:t xml:space="preserve">ant le nombre </w:t>
      </w:r>
      <w:r w:rsidRPr="00A86354" w:rsidR="00AF10EB">
        <w:rPr>
          <w:rFonts w:cs="Arial"/>
          <w:lang w:val="fr-FR"/>
        </w:rPr>
        <w:t>exact</w:t>
      </w:r>
      <w:r w:rsidRPr="00A86354" w:rsidR="007F58E0">
        <w:rPr>
          <w:rFonts w:cs="Arial"/>
          <w:lang w:val="fr-FR"/>
        </w:rPr>
        <w:t xml:space="preserve"> d</w:t>
      </w:r>
      <w:r w:rsidRPr="00A86354" w:rsidR="0006032C">
        <w:rPr>
          <w:rFonts w:cs="Arial"/>
          <w:lang w:val="fr-FR"/>
        </w:rPr>
        <w:t>’</w:t>
      </w:r>
      <w:r w:rsidRPr="00A86354" w:rsidR="007F58E0">
        <w:rPr>
          <w:rFonts w:cs="Arial"/>
          <w:lang w:val="fr-FR"/>
        </w:rPr>
        <w:t>élèves handicapés</w:t>
      </w:r>
      <w:r w:rsidRPr="00A86354" w:rsidR="000F3CC7">
        <w:rPr>
          <w:rFonts w:cs="Arial"/>
          <w:lang w:val="fr-FR"/>
        </w:rPr>
        <w:t xml:space="preserve"> </w:t>
      </w:r>
      <w:r w:rsidRPr="00A86354" w:rsidR="00AF10EB">
        <w:rPr>
          <w:rFonts w:cs="Arial"/>
          <w:lang w:val="fr-FR"/>
        </w:rPr>
        <w:t>qui ont bénéficié d</w:t>
      </w:r>
      <w:r w:rsidRPr="00A86354" w:rsidR="0006032C">
        <w:rPr>
          <w:rFonts w:cs="Arial"/>
          <w:lang w:val="fr-FR"/>
        </w:rPr>
        <w:t>’</w:t>
      </w:r>
      <w:r w:rsidRPr="00A86354" w:rsidR="00AF10EB">
        <w:rPr>
          <w:rFonts w:cs="Arial"/>
          <w:lang w:val="fr-FR"/>
        </w:rPr>
        <w:t>une</w:t>
      </w:r>
      <w:r w:rsidRPr="00A86354" w:rsidR="000F3CC7">
        <w:rPr>
          <w:rFonts w:cs="Arial"/>
          <w:lang w:val="fr-FR"/>
        </w:rPr>
        <w:t xml:space="preserve"> notification</w:t>
      </w:r>
      <w:r w:rsidRPr="00A86354" w:rsidR="002B3F0A">
        <w:rPr>
          <w:rFonts w:cs="Arial"/>
          <w:lang w:val="fr-FR"/>
        </w:rPr>
        <w:t xml:space="preserve"> </w:t>
      </w:r>
      <w:r w:rsidRPr="00A86354" w:rsidR="00185939">
        <w:rPr>
          <w:rFonts w:cs="Arial"/>
          <w:lang w:val="fr-FR"/>
        </w:rPr>
        <w:t>d</w:t>
      </w:r>
      <w:r w:rsidRPr="00A86354" w:rsidR="0006032C">
        <w:rPr>
          <w:rFonts w:cs="Arial"/>
          <w:lang w:val="fr-FR"/>
        </w:rPr>
        <w:t>’</w:t>
      </w:r>
      <w:r w:rsidRPr="00A86354" w:rsidR="00185939">
        <w:rPr>
          <w:rFonts w:cs="Arial"/>
          <w:lang w:val="fr-FR"/>
        </w:rPr>
        <w:t>attribution d</w:t>
      </w:r>
      <w:r w:rsidRPr="00A86354" w:rsidR="0006032C">
        <w:rPr>
          <w:rFonts w:cs="Arial"/>
          <w:lang w:val="fr-FR"/>
        </w:rPr>
        <w:t>’</w:t>
      </w:r>
      <w:r w:rsidRPr="00A86354" w:rsidR="00185939">
        <w:rPr>
          <w:rFonts w:cs="Arial"/>
          <w:lang w:val="fr-FR"/>
        </w:rPr>
        <w:t>un AESH</w:t>
      </w:r>
      <w:r w:rsidRPr="00A86354" w:rsidR="002B3F0A">
        <w:rPr>
          <w:rFonts w:cs="Arial"/>
          <w:lang w:val="fr-FR"/>
        </w:rPr>
        <w:t>,</w:t>
      </w:r>
      <w:r w:rsidRPr="00A86354" w:rsidR="000F3CC7">
        <w:rPr>
          <w:rFonts w:cs="Arial"/>
          <w:lang w:val="fr-FR"/>
        </w:rPr>
        <w:t xml:space="preserve"> </w:t>
      </w:r>
      <w:r w:rsidRPr="00A86354" w:rsidR="00185939">
        <w:rPr>
          <w:rFonts w:cs="Arial"/>
          <w:lang w:val="fr-FR"/>
        </w:rPr>
        <w:t>mais qui, en pratique, ont été privé</w:t>
      </w:r>
      <w:r w:rsidRPr="00A86354" w:rsidR="00C66A3A">
        <w:rPr>
          <w:rFonts w:cs="Arial"/>
          <w:lang w:val="fr-FR"/>
        </w:rPr>
        <w:t>s</w:t>
      </w:r>
      <w:r w:rsidRPr="00A86354" w:rsidR="00185939">
        <w:rPr>
          <w:rFonts w:cs="Arial"/>
          <w:lang w:val="fr-FR"/>
        </w:rPr>
        <w:t xml:space="preserve"> de cette aide humaine</w:t>
      </w:r>
      <w:r w:rsidRPr="00A86354" w:rsidR="000F3CC7">
        <w:rPr>
          <w:rFonts w:cs="Arial"/>
          <w:lang w:val="fr-FR"/>
        </w:rPr>
        <w:t xml:space="preserve"> </w:t>
      </w:r>
      <w:r w:rsidRPr="00A86354" w:rsidR="00286E33">
        <w:rPr>
          <w:rFonts w:cs="Arial"/>
          <w:lang w:val="fr-FR"/>
        </w:rPr>
        <w:t xml:space="preserve">en raison </w:t>
      </w:r>
      <w:r w:rsidRPr="00A86354" w:rsidR="00C66A3A">
        <w:rPr>
          <w:rFonts w:cs="Arial"/>
          <w:lang w:val="fr-FR"/>
        </w:rPr>
        <w:t>de l</w:t>
      </w:r>
      <w:r w:rsidRPr="00A86354" w:rsidR="0006032C">
        <w:rPr>
          <w:rFonts w:cs="Arial"/>
          <w:lang w:val="fr-FR"/>
        </w:rPr>
        <w:t>’</w:t>
      </w:r>
      <w:r w:rsidRPr="00A86354" w:rsidR="00C66A3A">
        <w:rPr>
          <w:rFonts w:cs="Arial"/>
          <w:lang w:val="fr-FR"/>
        </w:rPr>
        <w:t>insuffisance de</w:t>
      </w:r>
      <w:r w:rsidRPr="00A86354" w:rsidR="00286E33">
        <w:rPr>
          <w:rFonts w:cs="Arial"/>
          <w:lang w:val="fr-FR"/>
        </w:rPr>
        <w:t xml:space="preserve"> </w:t>
      </w:r>
      <w:r w:rsidRPr="00A86354" w:rsidR="00C66A3A">
        <w:rPr>
          <w:rFonts w:cs="Arial"/>
          <w:lang w:val="fr-FR"/>
        </w:rPr>
        <w:t>financement</w:t>
      </w:r>
      <w:r w:rsidRPr="00A86354" w:rsidR="002B3F0A">
        <w:rPr>
          <w:rFonts w:cs="Arial"/>
          <w:lang w:val="fr-FR"/>
        </w:rPr>
        <w:t xml:space="preserve"> </w:t>
      </w:r>
      <w:r w:rsidRPr="00A86354" w:rsidR="00C66A3A">
        <w:rPr>
          <w:rFonts w:cs="Arial"/>
          <w:lang w:val="fr-FR"/>
        </w:rPr>
        <w:t>de l</w:t>
      </w:r>
      <w:r w:rsidRPr="00A86354" w:rsidR="0006032C">
        <w:rPr>
          <w:rFonts w:cs="Arial"/>
          <w:lang w:val="fr-FR"/>
        </w:rPr>
        <w:t>’</w:t>
      </w:r>
      <w:r w:rsidRPr="00A86354" w:rsidR="00C66A3A">
        <w:rPr>
          <w:rFonts w:cs="Arial"/>
          <w:lang w:val="fr-FR"/>
        </w:rPr>
        <w:t>aide nécessaire</w:t>
      </w:r>
      <w:r w:rsidRPr="00A86354" w:rsidR="000F3CC7">
        <w:rPr>
          <w:rFonts w:cs="Arial"/>
          <w:lang w:val="fr-FR"/>
        </w:rPr>
        <w:t xml:space="preserve">. </w:t>
      </w:r>
      <w:r w:rsidRPr="00A86354" w:rsidR="00C66A3A">
        <w:rPr>
          <w:rFonts w:cs="Arial"/>
          <w:lang w:val="fr-FR"/>
        </w:rPr>
        <w:t>Dans ce</w:t>
      </w:r>
      <w:r w:rsidRPr="00A86354" w:rsidR="00C24351">
        <w:rPr>
          <w:rFonts w:cs="Arial"/>
          <w:lang w:val="fr-FR"/>
        </w:rPr>
        <w:t xml:space="preserve"> context</w:t>
      </w:r>
      <w:r w:rsidRPr="00A86354" w:rsidR="00C66A3A">
        <w:rPr>
          <w:rFonts w:cs="Arial"/>
          <w:lang w:val="fr-FR"/>
        </w:rPr>
        <w:t>e</w:t>
      </w:r>
      <w:r w:rsidRPr="00A86354" w:rsidR="00C24351">
        <w:rPr>
          <w:rFonts w:cs="Arial"/>
          <w:lang w:val="fr-FR"/>
        </w:rPr>
        <w:t xml:space="preserve">, </w:t>
      </w:r>
      <w:r w:rsidRPr="00A86354" w:rsidR="003D34C2">
        <w:rPr>
          <w:rFonts w:cs="Arial"/>
          <w:lang w:val="fr-FR"/>
        </w:rPr>
        <w:t>il</w:t>
      </w:r>
      <w:r w:rsidRPr="00A86354" w:rsidR="00C66A3A">
        <w:rPr>
          <w:rFonts w:cs="Arial"/>
          <w:lang w:val="fr-FR"/>
        </w:rPr>
        <w:t xml:space="preserve"> prend note de la</w:t>
      </w:r>
      <w:r w:rsidRPr="00A86354" w:rsidR="00C24351">
        <w:rPr>
          <w:rFonts w:cs="Arial"/>
          <w:lang w:val="fr-FR"/>
        </w:rPr>
        <w:t xml:space="preserve"> situation </w:t>
      </w:r>
      <w:r w:rsidRPr="00A86354" w:rsidR="00C66A3A">
        <w:rPr>
          <w:rFonts w:cs="Arial"/>
          <w:lang w:val="fr-FR"/>
        </w:rPr>
        <w:t>des enfants polyhandicapés</w:t>
      </w:r>
      <w:r w:rsidRPr="00A86354" w:rsidR="000807D5">
        <w:rPr>
          <w:rFonts w:cs="Arial"/>
          <w:lang w:val="fr-FR"/>
        </w:rPr>
        <w:t> :</w:t>
      </w:r>
      <w:r w:rsidRPr="00A86354" w:rsidR="00C66A3A">
        <w:rPr>
          <w:rFonts w:cs="Arial"/>
          <w:lang w:val="fr-FR"/>
        </w:rPr>
        <w:t xml:space="preserve"> </w:t>
      </w:r>
      <w:r w:rsidRPr="00A86354" w:rsidR="00530321">
        <w:rPr>
          <w:rFonts w:cs="Arial"/>
          <w:lang w:val="fr-FR"/>
        </w:rPr>
        <w:t>d</w:t>
      </w:r>
      <w:r w:rsidRPr="00A86354" w:rsidR="0006032C">
        <w:rPr>
          <w:rFonts w:cs="Arial"/>
          <w:lang w:val="fr-FR"/>
        </w:rPr>
        <w:t>’</w:t>
      </w:r>
      <w:r w:rsidRPr="00A86354" w:rsidR="00530321">
        <w:rPr>
          <w:rFonts w:cs="Arial"/>
          <w:lang w:val="fr-FR"/>
        </w:rPr>
        <w:t xml:space="preserve">après les </w:t>
      </w:r>
      <w:r w:rsidRPr="00A86354" w:rsidR="00A56B8D">
        <w:rPr>
          <w:rFonts w:cs="Arial"/>
          <w:lang w:val="fr-FR"/>
        </w:rPr>
        <w:t>observations</w:t>
      </w:r>
      <w:r w:rsidRPr="00A86354" w:rsidR="00530321">
        <w:rPr>
          <w:rFonts w:cs="Arial"/>
          <w:lang w:val="fr-FR"/>
        </w:rPr>
        <w:t xml:space="preserve"> des organisations réclamantes, que le Gouvernement n</w:t>
      </w:r>
      <w:r w:rsidRPr="00A86354" w:rsidR="0006032C">
        <w:rPr>
          <w:rFonts w:cs="Arial"/>
          <w:lang w:val="fr-FR"/>
        </w:rPr>
        <w:t>’</w:t>
      </w:r>
      <w:r w:rsidRPr="00A86354" w:rsidR="00530321">
        <w:rPr>
          <w:rFonts w:cs="Arial"/>
          <w:lang w:val="fr-FR"/>
        </w:rPr>
        <w:t>a pas contestées,</w:t>
      </w:r>
      <w:r w:rsidRPr="00A86354" w:rsidR="00C24351">
        <w:rPr>
          <w:rFonts w:cs="Arial"/>
          <w:lang w:val="fr-FR"/>
        </w:rPr>
        <w:t xml:space="preserve"> 76</w:t>
      </w:r>
      <w:r w:rsidRPr="00A86354" w:rsidR="00C66A3A">
        <w:rPr>
          <w:rFonts w:cs="Arial"/>
          <w:lang w:val="fr-FR"/>
        </w:rPr>
        <w:t> </w:t>
      </w:r>
      <w:r w:rsidRPr="00A86354" w:rsidR="00C24351">
        <w:rPr>
          <w:rFonts w:cs="Arial"/>
          <w:lang w:val="fr-FR"/>
        </w:rPr>
        <w:t>%</w:t>
      </w:r>
      <w:r w:rsidRPr="00A86354" w:rsidR="00613659">
        <w:rPr>
          <w:rFonts w:cs="Arial"/>
          <w:lang w:val="fr-FR"/>
        </w:rPr>
        <w:t xml:space="preserve"> </w:t>
      </w:r>
      <w:r w:rsidRPr="00A86354" w:rsidR="00530321">
        <w:rPr>
          <w:rFonts w:cs="Arial"/>
          <w:lang w:val="fr-FR"/>
        </w:rPr>
        <w:t>d</w:t>
      </w:r>
      <w:r w:rsidRPr="00A86354" w:rsidR="0006032C">
        <w:rPr>
          <w:rFonts w:cs="Arial"/>
          <w:lang w:val="fr-FR"/>
        </w:rPr>
        <w:t>’</w:t>
      </w:r>
      <w:r w:rsidRPr="00A86354" w:rsidR="00530321">
        <w:rPr>
          <w:rFonts w:cs="Arial"/>
          <w:lang w:val="fr-FR"/>
        </w:rPr>
        <w:t xml:space="preserve">entre eux </w:t>
      </w:r>
      <w:r w:rsidRPr="00A86354" w:rsidR="00C66A3A">
        <w:rPr>
          <w:rFonts w:cs="Arial"/>
          <w:lang w:val="fr-FR"/>
        </w:rPr>
        <w:t>ne</w:t>
      </w:r>
      <w:r w:rsidRPr="00A86354" w:rsidR="00C24351">
        <w:rPr>
          <w:rFonts w:cs="Arial"/>
          <w:lang w:val="fr-FR"/>
        </w:rPr>
        <w:t xml:space="preserve"> </w:t>
      </w:r>
      <w:r w:rsidRPr="00A86354" w:rsidR="00C54DAA">
        <w:rPr>
          <w:rFonts w:cs="Arial"/>
          <w:lang w:val="fr-FR"/>
        </w:rPr>
        <w:t>sont pas scolarisés et</w:t>
      </w:r>
      <w:r w:rsidRPr="00A86354" w:rsidR="00C24351">
        <w:rPr>
          <w:rFonts w:cs="Arial"/>
          <w:lang w:val="fr-FR"/>
        </w:rPr>
        <w:t xml:space="preserve"> </w:t>
      </w:r>
      <w:r w:rsidRPr="00A86354" w:rsidR="00530321">
        <w:rPr>
          <w:rFonts w:cs="Arial"/>
          <w:lang w:val="fr-FR"/>
        </w:rPr>
        <w:t>69 % de ceux qui sont scolarisés le sont moins de six heures par semaine.</w:t>
      </w:r>
    </w:p>
    <w:p w:rsidRPr="00A86354" w:rsidR="00B417F9" w:rsidP="00204C2A" w:rsidRDefault="00B417F9" w14:paraId="13F94DF7" w14:textId="77777777">
      <w:pPr>
        <w:pStyle w:val="ListParagraph"/>
        <w:rPr>
          <w:rFonts w:cs="Arial"/>
          <w:lang w:val="fr-FR"/>
        </w:rPr>
      </w:pPr>
    </w:p>
    <w:p w:rsidRPr="00A86354" w:rsidR="00FC2D57" w:rsidP="00CE016A" w:rsidRDefault="00A56B8D" w14:paraId="7FE6DEBB" w14:textId="117EB2CA">
      <w:pPr>
        <w:pStyle w:val="ListParagraph"/>
        <w:numPr>
          <w:ilvl w:val="0"/>
          <w:numId w:val="1"/>
        </w:numPr>
        <w:ind w:left="0" w:firstLine="0"/>
        <w:rPr>
          <w:rFonts w:cs="Arial"/>
          <w:lang w:val="fr-FR"/>
        </w:rPr>
      </w:pPr>
      <w:r w:rsidRPr="00A86354">
        <w:rPr>
          <w:rFonts w:cs="Arial"/>
          <w:lang w:val="fr-FR"/>
        </w:rPr>
        <w:t>Le Comité note également que,</w:t>
      </w:r>
      <w:r w:rsidRPr="00A86354" w:rsidR="00C24351">
        <w:rPr>
          <w:rFonts w:cs="Arial"/>
          <w:lang w:val="fr-FR"/>
        </w:rPr>
        <w:t xml:space="preserve"> </w:t>
      </w:r>
      <w:r w:rsidRPr="00A86354">
        <w:rPr>
          <w:rFonts w:cs="Arial"/>
          <w:lang w:val="fr-FR"/>
        </w:rPr>
        <w:t>d</w:t>
      </w:r>
      <w:r w:rsidRPr="00A86354" w:rsidR="0006032C">
        <w:rPr>
          <w:rFonts w:cs="Arial"/>
          <w:lang w:val="fr-FR"/>
        </w:rPr>
        <w:t>’</w:t>
      </w:r>
      <w:r w:rsidRPr="00A86354">
        <w:rPr>
          <w:rFonts w:cs="Arial"/>
          <w:lang w:val="fr-FR"/>
        </w:rPr>
        <w:t>après les observations des organisations réclamantes, que le Gouvernement n</w:t>
      </w:r>
      <w:r w:rsidRPr="00A86354" w:rsidR="0006032C">
        <w:rPr>
          <w:rFonts w:cs="Arial"/>
          <w:lang w:val="fr-FR"/>
        </w:rPr>
        <w:t>’</w:t>
      </w:r>
      <w:r w:rsidRPr="00A86354">
        <w:rPr>
          <w:rFonts w:cs="Arial"/>
          <w:lang w:val="fr-FR"/>
        </w:rPr>
        <w:t>a pas contestées</w:t>
      </w:r>
      <w:r w:rsidRPr="00A86354" w:rsidR="00C24351">
        <w:rPr>
          <w:rFonts w:cs="Arial"/>
          <w:lang w:val="fr-FR"/>
        </w:rPr>
        <w:t>,</w:t>
      </w:r>
      <w:r w:rsidRPr="00A86354" w:rsidR="00FC2D57">
        <w:rPr>
          <w:rFonts w:ascii="Times New Roman" w:hAnsi="Times New Roman" w:cs="Arial"/>
          <w:lang w:val="fr-FR"/>
        </w:rPr>
        <w:t xml:space="preserve"> </w:t>
      </w:r>
      <w:r w:rsidRPr="00A86354" w:rsidR="00FC2D57">
        <w:rPr>
          <w:rFonts w:cs="Arial"/>
          <w:lang w:val="fr-FR"/>
        </w:rPr>
        <w:t>les délais de traitement excessifs des demandes d</w:t>
      </w:r>
      <w:r w:rsidRPr="00A86354" w:rsidR="0006032C">
        <w:rPr>
          <w:rFonts w:cs="Arial"/>
          <w:lang w:val="fr-FR"/>
        </w:rPr>
        <w:t>’</w:t>
      </w:r>
      <w:r w:rsidRPr="00A86354" w:rsidR="00FC2D57">
        <w:rPr>
          <w:rFonts w:cs="Arial"/>
          <w:lang w:val="fr-FR"/>
        </w:rPr>
        <w:t>attribution d</w:t>
      </w:r>
      <w:r w:rsidRPr="00A86354" w:rsidR="0006032C">
        <w:rPr>
          <w:rFonts w:cs="Arial"/>
          <w:lang w:val="fr-FR"/>
        </w:rPr>
        <w:t>’</w:t>
      </w:r>
      <w:r w:rsidRPr="00A86354" w:rsidR="00FC2D57">
        <w:rPr>
          <w:rFonts w:cs="Arial"/>
          <w:lang w:val="fr-FR"/>
        </w:rPr>
        <w:t>un AESH soumises par les familles ont pour effet que de nombreux élèves handicapés</w:t>
      </w:r>
      <w:r w:rsidRPr="00A86354" w:rsidR="005059B1">
        <w:rPr>
          <w:rFonts w:cs="Arial"/>
          <w:lang w:val="fr-FR"/>
        </w:rPr>
        <w:t xml:space="preserve"> ayant besoin d</w:t>
      </w:r>
      <w:r w:rsidRPr="00A86354" w:rsidR="0006032C">
        <w:rPr>
          <w:rFonts w:cs="Arial"/>
          <w:lang w:val="fr-FR"/>
        </w:rPr>
        <w:t>’</w:t>
      </w:r>
      <w:r w:rsidRPr="00A86354" w:rsidR="005059B1">
        <w:rPr>
          <w:rFonts w:cs="Arial"/>
          <w:lang w:val="fr-FR"/>
        </w:rPr>
        <w:t xml:space="preserve">une aide humaine pour pouvoir être scolarisés en milieu ordinaire </w:t>
      </w:r>
      <w:r w:rsidRPr="00A86354" w:rsidR="00FC2D57">
        <w:rPr>
          <w:rFonts w:cs="Arial"/>
          <w:lang w:val="fr-FR"/>
        </w:rPr>
        <w:t xml:space="preserve">sont contraints de commencer leur année scolaire </w:t>
      </w:r>
      <w:r w:rsidRPr="00A86354" w:rsidR="005059B1">
        <w:rPr>
          <w:rFonts w:cs="Arial"/>
          <w:lang w:val="fr-FR"/>
        </w:rPr>
        <w:t>plusieurs mois après la rentrée officielle.</w:t>
      </w:r>
    </w:p>
    <w:p w:rsidRPr="00A86354" w:rsidR="008F0D0E" w:rsidP="008F0D0E" w:rsidRDefault="008F0D0E" w14:paraId="3E831DFE" w14:textId="77777777">
      <w:pPr>
        <w:ind w:left="360" w:hanging="360"/>
        <w:rPr>
          <w:rFonts w:ascii="Arial" w:hAnsi="Arial" w:cs="Arial"/>
          <w:lang w:val="fr-FR"/>
        </w:rPr>
      </w:pPr>
    </w:p>
    <w:p w:rsidRPr="00A86354" w:rsidR="00CA7233" w:rsidP="00CE016A" w:rsidRDefault="005059B1" w14:paraId="32A43509" w14:textId="21D0181A">
      <w:pPr>
        <w:pStyle w:val="ListParagraph"/>
        <w:numPr>
          <w:ilvl w:val="0"/>
          <w:numId w:val="1"/>
        </w:numPr>
        <w:ind w:left="0" w:firstLine="0"/>
        <w:rPr>
          <w:rFonts w:cs="Arial"/>
          <w:lang w:val="fr-FR"/>
        </w:rPr>
      </w:pPr>
      <w:r w:rsidRPr="00A86354">
        <w:rPr>
          <w:rFonts w:cs="Arial"/>
          <w:lang w:val="fr-FR"/>
        </w:rPr>
        <w:t>Le Comité reconnaît les efforts déployés par le Gouvernement pour assurer l</w:t>
      </w:r>
      <w:r w:rsidRPr="00A86354" w:rsidR="0006032C">
        <w:rPr>
          <w:rFonts w:cs="Arial"/>
          <w:lang w:val="fr-FR"/>
        </w:rPr>
        <w:t>’</w:t>
      </w:r>
      <w:r w:rsidRPr="00A86354">
        <w:rPr>
          <w:rFonts w:cs="Arial"/>
          <w:lang w:val="fr-FR"/>
        </w:rPr>
        <w:t xml:space="preserve">inclusion des élèves handicapés dans les classes ordinaires, en particulier les améliorations apportées en 2019 </w:t>
      </w:r>
      <w:r w:rsidRPr="00A86354" w:rsidR="00F80706">
        <w:rPr>
          <w:rFonts w:cs="Arial"/>
          <w:lang w:val="fr-FR"/>
        </w:rPr>
        <w:t>concernant</w:t>
      </w:r>
      <w:r w:rsidRPr="00A86354">
        <w:rPr>
          <w:rFonts w:cs="Arial"/>
          <w:lang w:val="fr-FR"/>
        </w:rPr>
        <w:t xml:space="preserve"> le statut des AESH (notamment leur recrutement et leur formation). </w:t>
      </w:r>
      <w:r w:rsidRPr="00A86354" w:rsidR="003D34C2">
        <w:rPr>
          <w:rFonts w:cs="Arial"/>
          <w:lang w:val="fr-FR"/>
        </w:rPr>
        <w:t>Il</w:t>
      </w:r>
      <w:r w:rsidRPr="00A86354">
        <w:rPr>
          <w:rFonts w:cs="Arial"/>
          <w:lang w:val="fr-FR"/>
        </w:rPr>
        <w:t xml:space="preserve"> note également l</w:t>
      </w:r>
      <w:r w:rsidRPr="00A86354" w:rsidR="0006032C">
        <w:rPr>
          <w:rFonts w:cs="Arial"/>
          <w:lang w:val="fr-FR"/>
        </w:rPr>
        <w:t>’</w:t>
      </w:r>
      <w:r w:rsidRPr="00A86354">
        <w:rPr>
          <w:rFonts w:cs="Arial"/>
          <w:lang w:val="fr-FR"/>
        </w:rPr>
        <w:t>augmentation constante, au cours des dernières années, du nombre d</w:t>
      </w:r>
      <w:r w:rsidRPr="00A86354" w:rsidR="0006032C">
        <w:rPr>
          <w:rFonts w:cs="Arial"/>
          <w:lang w:val="fr-FR"/>
        </w:rPr>
        <w:t>’</w:t>
      </w:r>
      <w:r w:rsidRPr="00A86354">
        <w:rPr>
          <w:rFonts w:cs="Arial"/>
          <w:lang w:val="fr-FR"/>
        </w:rPr>
        <w:t>AESH et d</w:t>
      </w:r>
      <w:r w:rsidRPr="00A86354" w:rsidR="0006032C">
        <w:rPr>
          <w:rFonts w:cs="Arial"/>
          <w:lang w:val="fr-FR"/>
        </w:rPr>
        <w:t>’</w:t>
      </w:r>
      <w:r w:rsidRPr="00A86354">
        <w:rPr>
          <w:rFonts w:cs="Arial"/>
          <w:lang w:val="fr-FR"/>
        </w:rPr>
        <w:t xml:space="preserve">élèves handicapés scolarisés dans les écoles ordinaires. Néanmoins, </w:t>
      </w:r>
      <w:r w:rsidRPr="00A86354" w:rsidR="003D34C2">
        <w:rPr>
          <w:rFonts w:cs="Arial"/>
          <w:lang w:val="fr-FR"/>
        </w:rPr>
        <w:t>il</w:t>
      </w:r>
      <w:r w:rsidRPr="00A86354">
        <w:rPr>
          <w:rFonts w:cs="Arial"/>
          <w:lang w:val="fr-FR"/>
        </w:rPr>
        <w:t xml:space="preserve"> estime que</w:t>
      </w:r>
      <w:r w:rsidRPr="00A86354" w:rsidR="00F80706">
        <w:rPr>
          <w:rFonts w:cs="Arial"/>
          <w:lang w:val="fr-FR"/>
        </w:rPr>
        <w:t>,</w:t>
      </w:r>
      <w:r w:rsidRPr="00A86354">
        <w:rPr>
          <w:rFonts w:cs="Arial"/>
          <w:lang w:val="fr-FR"/>
        </w:rPr>
        <w:t xml:space="preserve"> 14 ans après l</w:t>
      </w:r>
      <w:r w:rsidRPr="00A86354" w:rsidR="0006032C">
        <w:rPr>
          <w:rFonts w:cs="Arial"/>
          <w:lang w:val="fr-FR"/>
        </w:rPr>
        <w:t>’</w:t>
      </w:r>
      <w:r w:rsidRPr="00A86354">
        <w:rPr>
          <w:rFonts w:cs="Arial"/>
          <w:lang w:val="fr-FR"/>
        </w:rPr>
        <w:t xml:space="preserve">adoption de la loi de 2005 qui </w:t>
      </w:r>
      <w:r w:rsidRPr="00A86354" w:rsidR="00F80706">
        <w:rPr>
          <w:rFonts w:cs="Arial"/>
          <w:lang w:val="fr-FR"/>
        </w:rPr>
        <w:t>consacre</w:t>
      </w:r>
      <w:r w:rsidRPr="00A86354">
        <w:rPr>
          <w:rFonts w:cs="Arial"/>
          <w:lang w:val="fr-FR"/>
        </w:rPr>
        <w:t xml:space="preserve"> </w:t>
      </w:r>
      <w:r w:rsidRPr="00A86354" w:rsidR="00F80706">
        <w:rPr>
          <w:rFonts w:cs="Arial"/>
          <w:lang w:val="fr-FR"/>
        </w:rPr>
        <w:t>le droit de tout enfant à une scolarisation</w:t>
      </w:r>
      <w:r w:rsidRPr="00A86354" w:rsidR="00776511">
        <w:rPr>
          <w:rFonts w:cs="Arial"/>
          <w:lang w:val="fr-FR"/>
        </w:rPr>
        <w:t xml:space="preserve"> en milieu ordinaire</w:t>
      </w:r>
      <w:r w:rsidRPr="00A86354">
        <w:rPr>
          <w:rFonts w:cs="Arial"/>
          <w:lang w:val="fr-FR"/>
        </w:rPr>
        <w:t>, et 16 ans après l</w:t>
      </w:r>
      <w:r w:rsidRPr="00A86354" w:rsidR="0006032C">
        <w:rPr>
          <w:rFonts w:cs="Arial"/>
          <w:lang w:val="fr-FR"/>
        </w:rPr>
        <w:t>’</w:t>
      </w:r>
      <w:r w:rsidRPr="00A86354">
        <w:rPr>
          <w:rFonts w:cs="Arial"/>
          <w:lang w:val="fr-FR"/>
        </w:rPr>
        <w:t xml:space="preserve">adoption </w:t>
      </w:r>
      <w:r w:rsidRPr="00A86354" w:rsidR="00776511">
        <w:rPr>
          <w:rFonts w:cs="Arial"/>
          <w:lang w:val="fr-FR"/>
        </w:rPr>
        <w:t xml:space="preserve">par le Comité </w:t>
      </w:r>
      <w:r w:rsidRPr="00A86354">
        <w:rPr>
          <w:rFonts w:cs="Arial"/>
          <w:lang w:val="fr-FR"/>
        </w:rPr>
        <w:t xml:space="preserve">de </w:t>
      </w:r>
      <w:r w:rsidR="003E6AC0">
        <w:rPr>
          <w:rFonts w:cs="Arial"/>
          <w:lang w:val="fr-FR"/>
        </w:rPr>
        <w:t>s</w:t>
      </w:r>
      <w:r w:rsidRPr="00A86354">
        <w:rPr>
          <w:rFonts w:cs="Arial"/>
          <w:lang w:val="fr-FR"/>
        </w:rPr>
        <w:t>a décision dans l</w:t>
      </w:r>
      <w:r w:rsidRPr="00A86354" w:rsidR="0006032C">
        <w:rPr>
          <w:rFonts w:cs="Arial"/>
          <w:lang w:val="fr-FR"/>
        </w:rPr>
        <w:t>’</w:t>
      </w:r>
      <w:r w:rsidRPr="00A86354">
        <w:rPr>
          <w:rFonts w:cs="Arial"/>
          <w:lang w:val="fr-FR"/>
        </w:rPr>
        <w:t>affaire Autism</w:t>
      </w:r>
      <w:r w:rsidRPr="00A86354" w:rsidR="00776511">
        <w:rPr>
          <w:rFonts w:cs="Arial"/>
          <w:lang w:val="fr-FR"/>
        </w:rPr>
        <w:t>e</w:t>
      </w:r>
      <w:r w:rsidRPr="00A86354" w:rsidR="00E97726">
        <w:rPr>
          <w:rFonts w:cs="Arial"/>
          <w:lang w:val="fr-FR"/>
        </w:rPr>
        <w:t>-</w:t>
      </w:r>
      <w:r w:rsidRPr="00A86354">
        <w:rPr>
          <w:rFonts w:cs="Arial"/>
          <w:lang w:val="fr-FR"/>
        </w:rPr>
        <w:t xml:space="preserve">Europe c. </w:t>
      </w:r>
      <w:r w:rsidRPr="00A86354" w:rsidR="00E96536">
        <w:rPr>
          <w:rFonts w:cs="Arial"/>
          <w:lang w:val="fr-FR"/>
        </w:rPr>
        <w:t xml:space="preserve">France, réclamation n° 13/2002 </w:t>
      </w:r>
      <w:r w:rsidRPr="00A86354">
        <w:rPr>
          <w:rFonts w:cs="Arial"/>
          <w:i/>
          <w:iCs/>
          <w:lang w:val="fr-FR"/>
        </w:rPr>
        <w:t>(op. cit.)</w:t>
      </w:r>
      <w:r w:rsidRPr="00A86354">
        <w:rPr>
          <w:rFonts w:cs="Arial"/>
          <w:lang w:val="fr-FR"/>
        </w:rPr>
        <w:t xml:space="preserve">, </w:t>
      </w:r>
      <w:r w:rsidRPr="00A86354" w:rsidR="00B417F9">
        <w:rPr>
          <w:rFonts w:cs="Arial"/>
          <w:lang w:val="fr-FR"/>
        </w:rPr>
        <w:t xml:space="preserve">les mesures prises par le </w:t>
      </w:r>
      <w:r w:rsidRPr="00A86354" w:rsidR="00687821">
        <w:rPr>
          <w:rFonts w:cs="Arial"/>
          <w:lang w:val="fr-FR"/>
        </w:rPr>
        <w:t>G</w:t>
      </w:r>
      <w:r w:rsidRPr="00A86354" w:rsidR="00B417F9">
        <w:rPr>
          <w:rFonts w:cs="Arial"/>
          <w:lang w:val="fr-FR"/>
        </w:rPr>
        <w:t>ouvernement pour remédier aux problèmes persistants et de longue date liés à l'inclusion des enfants handicapés dans les écoles ordinaires ne peuvent être considérées comme ayant été prises dans un délai raisonnable ni comme ayant été efficaces.</w:t>
      </w:r>
    </w:p>
    <w:p w:rsidRPr="00A86354" w:rsidR="008F0D0E" w:rsidP="008F0D0E" w:rsidRDefault="008F0D0E" w14:paraId="3FDF39CD" w14:textId="77777777">
      <w:pPr>
        <w:ind w:left="360" w:hanging="360"/>
        <w:rPr>
          <w:rFonts w:ascii="Arial" w:hAnsi="Arial" w:cs="Arial"/>
          <w:lang w:val="fr-FR"/>
        </w:rPr>
      </w:pPr>
    </w:p>
    <w:p w:rsidRPr="00A86354" w:rsidR="009A74CF" w:rsidP="00CE016A" w:rsidRDefault="005059B1" w14:paraId="19D17A51" w14:textId="7737449C">
      <w:pPr>
        <w:pStyle w:val="ListParagraph"/>
        <w:numPr>
          <w:ilvl w:val="0"/>
          <w:numId w:val="1"/>
        </w:numPr>
        <w:ind w:left="0" w:firstLine="0"/>
        <w:rPr>
          <w:rFonts w:cs="Arial"/>
          <w:lang w:val="fr-FR"/>
        </w:rPr>
      </w:pPr>
      <w:r w:rsidRPr="00A86354">
        <w:rPr>
          <w:rFonts w:cs="Arial"/>
          <w:lang w:val="fr-FR"/>
        </w:rPr>
        <w:t xml:space="preserve">Le Comité </w:t>
      </w:r>
      <w:r w:rsidRPr="00A86354" w:rsidR="00687821">
        <w:rPr>
          <w:rFonts w:cs="Arial"/>
          <w:lang w:val="fr-FR"/>
        </w:rPr>
        <w:t>dit qu’il y a</w:t>
      </w:r>
      <w:r w:rsidRPr="00A86354" w:rsidR="00CA7233">
        <w:rPr>
          <w:rFonts w:cs="Arial"/>
          <w:lang w:val="fr-FR"/>
        </w:rPr>
        <w:t xml:space="preserve"> violation </w:t>
      </w:r>
      <w:r w:rsidRPr="00A86354">
        <w:rPr>
          <w:rFonts w:cs="Arial"/>
          <w:lang w:val="fr-FR"/>
        </w:rPr>
        <w:t>de l</w:t>
      </w:r>
      <w:r w:rsidRPr="00A86354" w:rsidR="0006032C">
        <w:rPr>
          <w:rFonts w:cs="Arial"/>
          <w:lang w:val="fr-FR"/>
        </w:rPr>
        <w:t>’</w:t>
      </w:r>
      <w:r w:rsidRPr="00A86354">
        <w:rPr>
          <w:rFonts w:cs="Arial"/>
          <w:lang w:val="fr-FR"/>
        </w:rPr>
        <w:t>a</w:t>
      </w:r>
      <w:r w:rsidRPr="00A86354" w:rsidR="00CA7233">
        <w:rPr>
          <w:rFonts w:cs="Arial"/>
          <w:lang w:val="fr-FR"/>
        </w:rPr>
        <w:t xml:space="preserve">rticle 15§1 </w:t>
      </w:r>
      <w:r w:rsidRPr="00A86354" w:rsidR="00E97244">
        <w:rPr>
          <w:rFonts w:cs="Arial"/>
          <w:lang w:val="fr-FR"/>
        </w:rPr>
        <w:t>de la Charte</w:t>
      </w:r>
      <w:r w:rsidRPr="00A86354" w:rsidR="00CA7233">
        <w:rPr>
          <w:rFonts w:cs="Arial"/>
          <w:lang w:val="fr-FR"/>
        </w:rPr>
        <w:t xml:space="preserve"> </w:t>
      </w:r>
      <w:r w:rsidRPr="00A86354" w:rsidR="00CC786D">
        <w:rPr>
          <w:rFonts w:cs="Arial"/>
          <w:lang w:val="fr-FR"/>
        </w:rPr>
        <w:t>au motif que les autorités n’ont pas pris de mesures efficaces en temps utile pour remédier aux problèmes persistant de longue date</w:t>
      </w:r>
      <w:r w:rsidRPr="00A86354" w:rsidR="00B417F9">
        <w:rPr>
          <w:rFonts w:cs="Arial"/>
          <w:lang w:val="fr-FR"/>
        </w:rPr>
        <w:t>,</w:t>
      </w:r>
      <w:r w:rsidRPr="00A86354" w:rsidR="00CC786D">
        <w:rPr>
          <w:rFonts w:cs="Arial"/>
          <w:lang w:val="fr-FR"/>
        </w:rPr>
        <w:t xml:space="preserve"> liés </w:t>
      </w:r>
      <w:r w:rsidRPr="00A86354" w:rsidR="00776511">
        <w:rPr>
          <w:rFonts w:cs="Arial"/>
          <w:lang w:val="fr-FR"/>
        </w:rPr>
        <w:t>à l</w:t>
      </w:r>
      <w:r w:rsidRPr="00A86354" w:rsidR="0006032C">
        <w:rPr>
          <w:rFonts w:cs="Arial"/>
          <w:lang w:val="fr-FR"/>
        </w:rPr>
        <w:t>’</w:t>
      </w:r>
      <w:r w:rsidRPr="00A86354" w:rsidR="00776511">
        <w:rPr>
          <w:rFonts w:cs="Arial"/>
          <w:lang w:val="fr-FR"/>
        </w:rPr>
        <w:t>inclusion des enfants et adolescents handicapés dans les écoles ordinaires</w:t>
      </w:r>
      <w:r w:rsidRPr="00A86354" w:rsidR="00CA7233">
        <w:rPr>
          <w:rFonts w:cs="Arial"/>
          <w:lang w:val="fr-FR"/>
        </w:rPr>
        <w:t>.</w:t>
      </w:r>
    </w:p>
    <w:p w:rsidRPr="00A86354" w:rsidR="008F0D0E" w:rsidP="00A86354" w:rsidRDefault="008F0D0E" w14:paraId="3451854A" w14:textId="0885576B">
      <w:pPr>
        <w:ind w:left="360" w:hanging="360"/>
        <w:rPr>
          <w:rFonts w:ascii="Arial" w:hAnsi="Arial" w:cs="Arial"/>
          <w:lang w:val="fr-FR"/>
        </w:rPr>
      </w:pPr>
    </w:p>
    <w:p w:rsidRPr="00A86354" w:rsidR="00687821" w:rsidP="00A86354" w:rsidRDefault="00687821" w14:paraId="7E774835" w14:textId="77777777">
      <w:pPr>
        <w:ind w:left="360" w:hanging="360"/>
        <w:rPr>
          <w:rFonts w:ascii="Arial" w:hAnsi="Arial" w:cs="Arial"/>
          <w:lang w:val="fr-FR"/>
        </w:rPr>
      </w:pPr>
    </w:p>
    <w:p w:rsidRPr="00A86354" w:rsidR="002352E1" w:rsidP="00CE016A" w:rsidRDefault="004C0EEB" w14:paraId="21CB4500" w14:textId="77B7CA30">
      <w:pPr>
        <w:pStyle w:val="ListParagraph"/>
        <w:numPr>
          <w:ilvl w:val="0"/>
          <w:numId w:val="3"/>
        </w:numPr>
        <w:ind w:left="0" w:firstLine="0"/>
        <w:rPr>
          <w:rFonts w:cs="Arial"/>
          <w:b/>
          <w:bCs/>
          <w:lang w:val="fr-FR"/>
        </w:rPr>
      </w:pPr>
      <w:r w:rsidRPr="00A86354">
        <w:rPr>
          <w:rFonts w:cs="Arial"/>
          <w:b/>
          <w:bCs/>
          <w:lang w:val="fr-FR"/>
        </w:rPr>
        <w:t>VIOLATION ALLÉGUÉE DE L</w:t>
      </w:r>
      <w:r w:rsidRPr="00A86354" w:rsidR="0006032C">
        <w:rPr>
          <w:rFonts w:cs="Arial"/>
          <w:b/>
          <w:bCs/>
          <w:lang w:val="fr-FR"/>
        </w:rPr>
        <w:t>’</w:t>
      </w:r>
      <w:r w:rsidRPr="00A86354">
        <w:rPr>
          <w:rFonts w:cs="Arial"/>
          <w:b/>
          <w:bCs/>
          <w:lang w:val="fr-FR"/>
        </w:rPr>
        <w:t xml:space="preserve">ARTICLE </w:t>
      </w:r>
      <w:r w:rsidRPr="00A86354" w:rsidR="002352E1">
        <w:rPr>
          <w:rFonts w:cs="Arial"/>
          <w:b/>
          <w:bCs/>
          <w:lang w:val="fr-FR"/>
        </w:rPr>
        <w:t>11</w:t>
      </w:r>
      <w:r w:rsidRPr="00A86354" w:rsidR="00CA7233">
        <w:rPr>
          <w:rFonts w:cs="Arial"/>
          <w:b/>
          <w:bCs/>
          <w:lang w:val="fr-FR"/>
        </w:rPr>
        <w:t>§1</w:t>
      </w:r>
      <w:r w:rsidRPr="00A86354" w:rsidR="002352E1">
        <w:rPr>
          <w:rFonts w:cs="Arial"/>
          <w:b/>
          <w:bCs/>
          <w:lang w:val="fr-FR"/>
        </w:rPr>
        <w:t xml:space="preserve"> </w:t>
      </w:r>
      <w:r w:rsidRPr="00A86354" w:rsidR="00E97244">
        <w:rPr>
          <w:rFonts w:cs="Arial"/>
          <w:b/>
          <w:bCs/>
          <w:lang w:val="fr-FR"/>
        </w:rPr>
        <w:t>DE LA CHARTE</w:t>
      </w:r>
    </w:p>
    <w:p w:rsidRPr="00A86354" w:rsidR="00844324" w:rsidP="00844324" w:rsidRDefault="00844324" w14:paraId="7A8993CD" w14:textId="77777777">
      <w:pPr>
        <w:pStyle w:val="ListParagraph"/>
        <w:ind w:firstLine="709"/>
        <w:rPr>
          <w:rFonts w:cs="Arial"/>
          <w:lang w:val="fr-FR"/>
        </w:rPr>
      </w:pPr>
    </w:p>
    <w:p w:rsidRPr="00A86354" w:rsidR="005B531A" w:rsidP="00CE016A" w:rsidRDefault="005E18F6" w14:paraId="2972C642" w14:textId="0DDDB843">
      <w:pPr>
        <w:pStyle w:val="ListParagraph"/>
        <w:numPr>
          <w:ilvl w:val="0"/>
          <w:numId w:val="1"/>
        </w:numPr>
        <w:rPr>
          <w:rFonts w:cs="Arial"/>
          <w:lang w:val="fr-FR"/>
        </w:rPr>
      </w:pPr>
      <w:r w:rsidRPr="00A86354">
        <w:rPr>
          <w:rFonts w:cs="Arial"/>
          <w:lang w:val="fr-FR"/>
        </w:rPr>
        <w:t>L</w:t>
      </w:r>
      <w:r w:rsidRPr="00A86354" w:rsidR="0006032C">
        <w:rPr>
          <w:rFonts w:cs="Arial"/>
          <w:lang w:val="fr-FR"/>
        </w:rPr>
        <w:t>’</w:t>
      </w:r>
      <w:r w:rsidRPr="00A86354">
        <w:rPr>
          <w:rFonts w:cs="Arial"/>
          <w:lang w:val="fr-FR"/>
        </w:rPr>
        <w:t>a</w:t>
      </w:r>
      <w:r w:rsidRPr="00A86354" w:rsidR="005B531A">
        <w:rPr>
          <w:rFonts w:cs="Arial"/>
          <w:lang w:val="fr-FR"/>
        </w:rPr>
        <w:t xml:space="preserve">rticle 11§1 </w:t>
      </w:r>
      <w:r w:rsidRPr="00A86354" w:rsidR="00E97244">
        <w:rPr>
          <w:rFonts w:cs="Arial"/>
          <w:lang w:val="fr-FR"/>
        </w:rPr>
        <w:t>de la Charte</w:t>
      </w:r>
      <w:r w:rsidRPr="00A86354" w:rsidR="005B531A">
        <w:rPr>
          <w:rFonts w:cs="Arial"/>
          <w:lang w:val="fr-FR"/>
        </w:rPr>
        <w:t xml:space="preserve"> </w:t>
      </w:r>
      <w:r w:rsidRPr="00A86354">
        <w:rPr>
          <w:rFonts w:cs="Arial"/>
          <w:lang w:val="fr-FR"/>
        </w:rPr>
        <w:t>dispose</w:t>
      </w:r>
      <w:r w:rsidRPr="00A86354" w:rsidR="000807D5">
        <w:rPr>
          <w:rFonts w:cs="Arial"/>
          <w:lang w:val="fr-FR"/>
        </w:rPr>
        <w:t> :</w:t>
      </w:r>
      <w:r w:rsidRPr="00A86354" w:rsidR="005B531A">
        <w:rPr>
          <w:rFonts w:cs="Arial"/>
          <w:lang w:val="fr-FR"/>
        </w:rPr>
        <w:t xml:space="preserve"> </w:t>
      </w:r>
    </w:p>
    <w:p w:rsidRPr="00A86354" w:rsidR="00844324" w:rsidP="00844324" w:rsidRDefault="00844324" w14:paraId="4725ADC8" w14:textId="77777777">
      <w:pPr>
        <w:pStyle w:val="ListParagraph"/>
        <w:ind w:firstLine="709"/>
        <w:rPr>
          <w:rFonts w:cs="Arial"/>
          <w:lang w:val="fr-FR"/>
        </w:rPr>
      </w:pPr>
      <w:bookmarkStart w:name="_Hlk121316917" w:id="34"/>
    </w:p>
    <w:bookmarkEnd w:id="34"/>
    <w:p w:rsidRPr="00A86354" w:rsidR="00844324" w:rsidP="00844324" w:rsidRDefault="00844324" w14:paraId="7C10FC7D" w14:textId="77777777">
      <w:pPr>
        <w:ind w:firstLine="720"/>
        <w:rPr>
          <w:rFonts w:ascii="Arial" w:hAnsi="Arial" w:cs="Arial"/>
          <w:b/>
          <w:sz w:val="20"/>
          <w:szCs w:val="20"/>
          <w:lang w:val="fr-FR"/>
        </w:rPr>
      </w:pPr>
      <w:r w:rsidRPr="00A86354">
        <w:rPr>
          <w:rFonts w:ascii="Arial" w:hAnsi="Arial" w:cs="Arial"/>
          <w:b/>
          <w:sz w:val="20"/>
          <w:szCs w:val="20"/>
          <w:lang w:val="fr-FR"/>
        </w:rPr>
        <w:t>Article 11 – Droit à la protection de la santé</w:t>
      </w:r>
    </w:p>
    <w:p w:rsidRPr="00A86354" w:rsidR="00844324" w:rsidP="00844324" w:rsidRDefault="00844324" w14:paraId="32B3454A" w14:textId="77777777">
      <w:pPr>
        <w:ind w:firstLine="720"/>
        <w:rPr>
          <w:rFonts w:ascii="Arial" w:hAnsi="Arial" w:cs="Arial"/>
          <w:b/>
          <w:sz w:val="20"/>
          <w:szCs w:val="20"/>
          <w:lang w:val="fr-FR"/>
        </w:rPr>
      </w:pPr>
    </w:p>
    <w:p w:rsidRPr="00A86354" w:rsidR="00844324" w:rsidP="00844324" w:rsidRDefault="00844324" w14:paraId="227607B8" w14:textId="77777777">
      <w:pPr>
        <w:ind w:left="720"/>
        <w:rPr>
          <w:rFonts w:ascii="Arial" w:hAnsi="Arial" w:cs="Arial"/>
          <w:sz w:val="20"/>
          <w:szCs w:val="20"/>
          <w:lang w:val="fr-FR"/>
        </w:rPr>
      </w:pPr>
      <w:r w:rsidRPr="00A86354">
        <w:rPr>
          <w:rFonts w:ascii="Arial" w:hAnsi="Arial" w:cs="Arial"/>
          <w:sz w:val="20"/>
          <w:szCs w:val="20"/>
          <w:lang w:val="fr-FR"/>
        </w:rPr>
        <w:t>Partie I : « Toute personne a le droit de bénéficier de toutes les mesures lui permettant de jouir du meilleur état de santé qu'elle puisse atteindre. »</w:t>
      </w:r>
    </w:p>
    <w:p w:rsidRPr="00A86354" w:rsidR="00844324" w:rsidP="00844324" w:rsidRDefault="00844324" w14:paraId="2512DD89" w14:textId="77777777">
      <w:pPr>
        <w:ind w:left="720"/>
        <w:rPr>
          <w:rFonts w:ascii="Arial" w:hAnsi="Arial" w:cs="Arial"/>
          <w:sz w:val="20"/>
          <w:szCs w:val="20"/>
          <w:lang w:val="fr-FR"/>
        </w:rPr>
      </w:pPr>
      <w:r w:rsidRPr="00A86354">
        <w:rPr>
          <w:rFonts w:ascii="Arial" w:hAnsi="Arial" w:cs="Arial"/>
          <w:sz w:val="20"/>
          <w:szCs w:val="20"/>
          <w:lang w:val="fr-FR"/>
        </w:rPr>
        <w:t> </w:t>
      </w:r>
    </w:p>
    <w:p w:rsidRPr="00A86354" w:rsidR="00844324" w:rsidP="00844324" w:rsidRDefault="00844324" w14:paraId="5FC99361" w14:textId="77777777">
      <w:pPr>
        <w:ind w:left="720"/>
        <w:rPr>
          <w:rFonts w:ascii="Arial" w:hAnsi="Arial" w:cs="Arial"/>
          <w:sz w:val="20"/>
          <w:szCs w:val="20"/>
          <w:lang w:val="fr-FR"/>
        </w:rPr>
      </w:pPr>
      <w:r w:rsidRPr="00A86354">
        <w:rPr>
          <w:rFonts w:ascii="Arial" w:hAnsi="Arial" w:cs="Arial"/>
          <w:sz w:val="20"/>
          <w:szCs w:val="20"/>
          <w:lang w:val="fr-FR"/>
        </w:rPr>
        <w:lastRenderedPageBreak/>
        <w:t>Partie II : « En vue d'assurer l'exercice effectif du droit à la protection de la santé, les Parties s'engagent à prendre, soit directement, soit en coopération avec les organisations publiques et privées, des mesures appropriées tendant notamment :</w:t>
      </w:r>
    </w:p>
    <w:p w:rsidRPr="00A86354" w:rsidR="00844324" w:rsidP="00844324" w:rsidRDefault="00844324" w14:paraId="5327DC6F" w14:textId="77777777">
      <w:pPr>
        <w:ind w:left="720"/>
        <w:rPr>
          <w:rFonts w:ascii="Arial" w:hAnsi="Arial" w:cs="Arial"/>
          <w:sz w:val="20"/>
          <w:szCs w:val="20"/>
          <w:lang w:val="fr-FR"/>
        </w:rPr>
      </w:pPr>
      <w:r w:rsidRPr="00A86354">
        <w:rPr>
          <w:rFonts w:ascii="Arial" w:hAnsi="Arial" w:cs="Arial"/>
          <w:sz w:val="20"/>
          <w:szCs w:val="20"/>
          <w:lang w:val="fr-FR"/>
        </w:rPr>
        <w:t> </w:t>
      </w:r>
    </w:p>
    <w:p w:rsidRPr="00A86354" w:rsidR="00844324" w:rsidP="00844324" w:rsidRDefault="00844324" w14:paraId="3B407341" w14:textId="77777777">
      <w:pPr>
        <w:tabs>
          <w:tab w:val="left" w:pos="1134"/>
        </w:tabs>
        <w:ind w:left="720"/>
        <w:rPr>
          <w:rFonts w:ascii="Arial" w:hAnsi="Arial" w:cs="Arial"/>
          <w:sz w:val="20"/>
          <w:szCs w:val="20"/>
          <w:lang w:val="fr-FR"/>
        </w:rPr>
      </w:pPr>
      <w:r w:rsidRPr="00A86354">
        <w:rPr>
          <w:rFonts w:ascii="Arial" w:hAnsi="Arial" w:cs="Arial"/>
          <w:sz w:val="20"/>
          <w:szCs w:val="20"/>
          <w:lang w:val="fr-FR"/>
        </w:rPr>
        <w:t xml:space="preserve">1. </w:t>
      </w:r>
      <w:r w:rsidRPr="00A86354">
        <w:rPr>
          <w:rFonts w:ascii="Arial" w:hAnsi="Arial" w:cs="Arial"/>
          <w:sz w:val="20"/>
          <w:szCs w:val="20"/>
          <w:lang w:val="fr-FR"/>
        </w:rPr>
        <w:tab/>
        <w:t>à éliminer, dans la mesure du possible, les causes d'une santé déficiente ;</w:t>
      </w:r>
    </w:p>
    <w:p w:rsidRPr="00A86354" w:rsidR="00844324" w:rsidP="00844324" w:rsidRDefault="00844324" w14:paraId="329251CA" w14:textId="77777777">
      <w:pPr>
        <w:ind w:left="720"/>
        <w:rPr>
          <w:rFonts w:ascii="Arial" w:hAnsi="Arial" w:cs="Arial"/>
          <w:sz w:val="20"/>
          <w:szCs w:val="20"/>
          <w:lang w:val="fr-FR"/>
        </w:rPr>
      </w:pPr>
      <w:r w:rsidRPr="00A86354">
        <w:rPr>
          <w:rFonts w:ascii="Arial" w:hAnsi="Arial" w:cs="Arial"/>
          <w:sz w:val="20"/>
          <w:szCs w:val="20"/>
          <w:lang w:val="fr-FR"/>
        </w:rPr>
        <w:t> </w:t>
      </w:r>
    </w:p>
    <w:p w:rsidRPr="00A86354" w:rsidR="00844324" w:rsidP="00844324" w:rsidRDefault="00844324" w14:paraId="32588FAB" w14:textId="07906B36">
      <w:pPr>
        <w:ind w:left="720"/>
        <w:rPr>
          <w:rFonts w:ascii="Arial" w:hAnsi="Arial" w:cs="Arial"/>
          <w:sz w:val="20"/>
          <w:szCs w:val="20"/>
          <w:lang w:val="fr-FR"/>
        </w:rPr>
      </w:pPr>
      <w:r w:rsidRPr="00A86354">
        <w:rPr>
          <w:rFonts w:ascii="Arial" w:hAnsi="Arial" w:cs="Arial"/>
          <w:sz w:val="20"/>
          <w:szCs w:val="20"/>
          <w:lang w:val="fr-FR"/>
        </w:rPr>
        <w:t>[…] »</w:t>
      </w:r>
    </w:p>
    <w:p w:rsidRPr="00A86354" w:rsidR="005B531A" w:rsidP="00A86354" w:rsidRDefault="005B531A" w14:paraId="3C474F34" w14:textId="1D5E67AE">
      <w:pPr>
        <w:pStyle w:val="ListParagraph"/>
        <w:rPr>
          <w:rFonts w:cs="Arial"/>
          <w:lang w:val="fr-FR"/>
        </w:rPr>
      </w:pPr>
    </w:p>
    <w:p w:rsidRPr="00A86354" w:rsidR="00985925" w:rsidP="00A86354" w:rsidRDefault="00985925" w14:paraId="2B6D4995" w14:textId="5A05C9D3">
      <w:pPr>
        <w:keepNext/>
        <w:keepLines/>
        <w:tabs>
          <w:tab w:val="left" w:pos="567"/>
          <w:tab w:val="left" w:pos="709"/>
        </w:tabs>
        <w:outlineLvl w:val="2"/>
        <w:rPr>
          <w:rFonts w:ascii="Arial" w:hAnsi="Arial" w:cs="Arial" w:eastAsiaTheme="majorEastAsia"/>
          <w:b/>
          <w:bCs/>
          <w:kern w:val="1"/>
          <w:szCs w:val="26"/>
          <w:lang w:val="fr-FR" w:eastAsia="ar-SA"/>
        </w:rPr>
      </w:pPr>
      <w:r w:rsidRPr="00A86354">
        <w:rPr>
          <w:rFonts w:ascii="Arial" w:hAnsi="Arial" w:eastAsia="Calibri" w:cs="Arial"/>
          <w:b/>
          <w:bCs/>
          <w:lang w:val="fr-FR"/>
        </w:rPr>
        <w:t xml:space="preserve">A – </w:t>
      </w:r>
      <w:r w:rsidRPr="00A86354" w:rsidR="00E97244">
        <w:rPr>
          <w:rFonts w:ascii="Arial" w:hAnsi="Arial" w:cs="Arial" w:eastAsiaTheme="majorEastAsia"/>
          <w:b/>
          <w:bCs/>
          <w:kern w:val="1"/>
          <w:szCs w:val="26"/>
          <w:lang w:val="fr-FR" w:eastAsia="ar-SA"/>
        </w:rPr>
        <w:t>Arguments des parties</w:t>
      </w:r>
    </w:p>
    <w:p w:rsidRPr="00A86354" w:rsidR="00844324" w:rsidP="00844324" w:rsidRDefault="00844324" w14:paraId="08CA578C" w14:textId="77777777">
      <w:pPr>
        <w:pStyle w:val="ListParagraph"/>
        <w:ind w:firstLine="709"/>
        <w:rPr>
          <w:rFonts w:cs="Arial"/>
          <w:lang w:val="fr-FR"/>
        </w:rPr>
      </w:pPr>
    </w:p>
    <w:p w:rsidRPr="00A86354" w:rsidR="00444593" w:rsidP="00CE016A" w:rsidRDefault="00E97244" w14:paraId="28A5766A" w14:textId="79C0FB39">
      <w:pPr>
        <w:pStyle w:val="ListParagraph"/>
        <w:numPr>
          <w:ilvl w:val="0"/>
          <w:numId w:val="15"/>
        </w:numPr>
        <w:ind w:hanging="720"/>
        <w:rPr>
          <w:rFonts w:cs="Arial"/>
          <w:b/>
          <w:bCs/>
          <w:lang w:val="fr-FR"/>
        </w:rPr>
      </w:pPr>
      <w:r w:rsidRPr="00A86354">
        <w:rPr>
          <w:rFonts w:cs="Arial"/>
          <w:b/>
          <w:bCs/>
          <w:lang w:val="fr-FR"/>
        </w:rPr>
        <w:t xml:space="preserve">Les organisations </w:t>
      </w:r>
      <w:r w:rsidRPr="00A86354" w:rsidR="00844324">
        <w:rPr>
          <w:rFonts w:cs="Arial"/>
          <w:b/>
          <w:bCs/>
          <w:lang w:val="fr-FR"/>
        </w:rPr>
        <w:t xml:space="preserve">auteurs de la réclamations </w:t>
      </w:r>
    </w:p>
    <w:p w:rsidRPr="00A86354" w:rsidR="00844324" w:rsidP="00844324" w:rsidRDefault="00844324" w14:paraId="78ADBB47" w14:textId="77777777">
      <w:pPr>
        <w:pStyle w:val="ListParagraph"/>
        <w:ind w:firstLine="709"/>
        <w:rPr>
          <w:rFonts w:cs="Arial"/>
          <w:lang w:val="fr-FR"/>
        </w:rPr>
      </w:pPr>
    </w:p>
    <w:p w:rsidRPr="00844324" w:rsidR="00844324" w:rsidP="00CE016A" w:rsidRDefault="00844324" w14:paraId="5DAC9295" w14:textId="77777777">
      <w:pPr>
        <w:numPr>
          <w:ilvl w:val="0"/>
          <w:numId w:val="1"/>
        </w:numPr>
        <w:ind w:left="0" w:firstLine="0"/>
        <w:rPr>
          <w:rFonts w:ascii="Arial" w:hAnsi="Arial" w:cs="Arial"/>
          <w:lang w:val="fr-FR"/>
        </w:rPr>
      </w:pPr>
      <w:r w:rsidRPr="00844324">
        <w:rPr>
          <w:rFonts w:ascii="Arial" w:hAnsi="Arial" w:cs="Arial"/>
          <w:lang w:val="fr-FR"/>
        </w:rPr>
        <w:t xml:space="preserve">Selon EDF et Inclusion Europe, les services et équipements destinés à la population générale permettant l’accès à la santé sont essentiels pour le respect du droit des personnes handicapées à l’intégration et à l’autonomie. Elles soutiennent que l’inaccessibilité des structures de santé en France est l’une des principales raisons pour lesquelles les personnes handicapées demeurent isolées dans leur propre milieu social. À cet égard, elles renvoient à un rapport du Commissaire aux droits de l’homme du Conseil de l’Europe de 2015 qui appelait les autorités à s’assurer que les engagements souscrits en matière d’accessibilité sont effectivement mis en œuvre et à ne tolérer aucun nouveau report des aménagements nécessaires. </w:t>
      </w:r>
    </w:p>
    <w:p w:rsidRPr="00844324" w:rsidR="00844324" w:rsidP="00A86354" w:rsidRDefault="00844324" w14:paraId="4080465B" w14:textId="77777777">
      <w:pPr>
        <w:rPr>
          <w:rFonts w:ascii="Arial" w:hAnsi="Arial" w:cs="Arial"/>
          <w:lang w:val="fr-FR"/>
        </w:rPr>
      </w:pPr>
    </w:p>
    <w:p w:rsidRPr="00844324" w:rsidR="00844324" w:rsidP="00CE016A" w:rsidRDefault="00844324" w14:paraId="1417DDF0" w14:textId="6ACD2E36">
      <w:pPr>
        <w:numPr>
          <w:ilvl w:val="0"/>
          <w:numId w:val="1"/>
        </w:numPr>
        <w:ind w:left="0" w:firstLine="0"/>
        <w:rPr>
          <w:rFonts w:ascii="Arial" w:hAnsi="Arial" w:cs="Arial"/>
          <w:lang w:val="fr-FR"/>
        </w:rPr>
      </w:pPr>
      <w:r w:rsidRPr="00844324">
        <w:rPr>
          <w:rFonts w:ascii="Arial" w:hAnsi="Arial" w:cs="Arial"/>
          <w:lang w:val="fr-FR"/>
        </w:rPr>
        <w:t>Les organisations réclamantes renvoient également à un rapport de 2013 diligenté par le ministère de la Santé (« </w:t>
      </w:r>
      <w:r w:rsidRPr="00844324">
        <w:rPr>
          <w:rFonts w:ascii="Arial" w:hAnsi="Arial" w:cs="Arial"/>
          <w:iCs/>
          <w:lang w:val="fr-FR"/>
        </w:rPr>
        <w:t>Un droit citoyen pour la personne handicapée. Un parcours de soin et de santé sans rupture d’accompagnement »</w:t>
      </w:r>
      <w:r w:rsidRPr="00844324">
        <w:rPr>
          <w:rFonts w:ascii="Arial" w:hAnsi="Arial" w:cs="Arial"/>
          <w:lang w:val="fr-FR"/>
        </w:rPr>
        <w:t xml:space="preserve">) qui fait état de problèmes liés au rationnement des services par la file d’attente et de renoncements aux soins pour des raisons financières ainsi que de l’impréparation des professionnels de santé à prendre en charge les personnes handicapées dans leurs spécificités. Elles citent également un rapport d’enquête publié par l’Unapei en 2016 qui indique que le dispositif de soin de droit commun ne permet pas d’accueillir des personnes handicapées pour qu’elles se fassent soigner dans de bonnes conditions, car ni les lieux de prise en charge, ni le matériel utilisé, ni la formation des professionnels de santé ne facilitent le soin de ces patients. Le rapport affirme que l’ensemble de ces difficultés doit se penser dans le contexte de surcharge des secteurs sanitaires et médicosociaux. </w:t>
      </w:r>
    </w:p>
    <w:p w:rsidRPr="00844324" w:rsidR="00844324" w:rsidP="00844324" w:rsidRDefault="00844324" w14:paraId="72AA0199" w14:textId="77777777">
      <w:pPr>
        <w:rPr>
          <w:rFonts w:ascii="Arial" w:hAnsi="Arial" w:cs="Arial"/>
          <w:lang w:val="fr-FR"/>
        </w:rPr>
      </w:pPr>
    </w:p>
    <w:p w:rsidRPr="00844324" w:rsidR="00844324" w:rsidP="00CE016A" w:rsidRDefault="00844324" w14:paraId="7F0C3A5F" w14:textId="77777777">
      <w:pPr>
        <w:numPr>
          <w:ilvl w:val="0"/>
          <w:numId w:val="1"/>
        </w:numPr>
        <w:ind w:left="0" w:firstLine="0"/>
        <w:rPr>
          <w:rFonts w:ascii="Arial" w:hAnsi="Arial" w:cs="Arial"/>
          <w:lang w:val="fr-FR"/>
        </w:rPr>
      </w:pPr>
      <w:r w:rsidRPr="00844324">
        <w:rPr>
          <w:rFonts w:ascii="Arial" w:hAnsi="Arial" w:cs="Arial"/>
          <w:lang w:val="fr-FR"/>
        </w:rPr>
        <w:t xml:space="preserve">Les organisations réclamantes soulignent la faible coopération entre les services de soutien aux personnes handicapées et les services de santé, ce qui entraîne de grandes difficultés d'accès à ces services. Elles affirment que ce problème, aggravé par le fait que l'accès aux services de soutien est inadéquat, </w:t>
      </w:r>
      <w:proofErr w:type="gramStart"/>
      <w:r w:rsidRPr="00844324">
        <w:rPr>
          <w:rFonts w:ascii="Arial" w:hAnsi="Arial" w:cs="Arial"/>
          <w:lang w:val="fr-FR"/>
        </w:rPr>
        <w:t>a</w:t>
      </w:r>
      <w:proofErr w:type="gramEnd"/>
      <w:r w:rsidRPr="00844324">
        <w:rPr>
          <w:rFonts w:ascii="Arial" w:hAnsi="Arial" w:cs="Arial"/>
          <w:lang w:val="fr-FR"/>
        </w:rPr>
        <w:t xml:space="preserve"> des conséquences particulièrement graves pour les personnes présentant une déficience intellectuelle/des troubles psychologiques. Ces conséquences comprennent des soins psychiatriques inappropriés et abusifs entraînant une hospitalisation complète et des traitements involontaires, ainsi que des lacunes et des perturbations dans le parcours de soins des personnes souffrant de handicaps multiples. Ces conséquences sont extrêmement fréquentes en raison de l'offre insuffisante et du manque aggravé de coordination entre les différents acteurs - professionnels de la santé et de l'accompagnement social.</w:t>
      </w:r>
    </w:p>
    <w:p w:rsidRPr="00844324" w:rsidR="00844324" w:rsidP="00844324" w:rsidRDefault="00844324" w14:paraId="13284F04" w14:textId="77777777">
      <w:pPr>
        <w:rPr>
          <w:rFonts w:ascii="Arial" w:hAnsi="Arial" w:cs="Arial"/>
          <w:lang w:val="fr-FR"/>
        </w:rPr>
      </w:pPr>
    </w:p>
    <w:p w:rsidRPr="00844324" w:rsidR="00844324" w:rsidP="00CE016A" w:rsidRDefault="00844324" w14:paraId="0C6C13B7" w14:textId="77777777">
      <w:pPr>
        <w:numPr>
          <w:ilvl w:val="0"/>
          <w:numId w:val="1"/>
        </w:numPr>
        <w:ind w:left="0" w:firstLine="0"/>
        <w:rPr>
          <w:rFonts w:ascii="Arial" w:hAnsi="Arial" w:cs="Arial"/>
          <w:lang w:val="fr-FR"/>
        </w:rPr>
      </w:pPr>
      <w:r w:rsidRPr="00844324">
        <w:rPr>
          <w:rFonts w:ascii="Arial" w:hAnsi="Arial" w:cs="Arial"/>
          <w:lang w:val="fr-FR"/>
        </w:rPr>
        <w:lastRenderedPageBreak/>
        <w:t>EDF et Inclusion Europe renvoient à la stratégie « Ma santé 2022 » annoncée par le Gouvernement en septembre 2018,</w:t>
      </w:r>
      <w:r w:rsidRPr="00844324">
        <w:rPr>
          <w:rFonts w:ascii="Helvetica" w:hAnsi="Helvetica" w:cs="Helvetica"/>
          <w:color w:val="333333"/>
          <w:shd w:val="clear" w:color="auto" w:fill="FFFFFF"/>
          <w:lang w:val="fr-FR"/>
        </w:rPr>
        <w:t xml:space="preserve"> </w:t>
      </w:r>
      <w:r w:rsidRPr="00844324">
        <w:rPr>
          <w:rFonts w:ascii="Arial" w:hAnsi="Arial" w:cs="Arial"/>
          <w:lang w:val="fr-FR"/>
        </w:rPr>
        <w:t xml:space="preserve">qui propose une vue d’ensemble et des réponses globales aux difficultés auxquelles est confronté le système de santé français. Elles soutiennent que cette stratégie ne contient aucun objectif ni mesure en matière d’accès à la santé des personnes handicapées visant l’amélioration de l’accessibilité universelle des lieux de soins et des équipements, ni en matière de coopération entre les services d’accompagnement des personnes handicapées et les services de santé. Elles indiquent également que, bien que le rapport « L’accès aux droits et aux soins des personnes en situation de handicap et des personnes en situation de précarité », paru en juillet 2018 et cité par le Gouvernement, contienne des mesures concernant l’accessibilité des lieux de soins, sur les 42 propositions formulées par ce rapport, seules quatre ont été retenues par le Comité interministériel du handicap en octobre 2018. Ainsi, des volets essentiels comme l’accompagnement des professionnels de santé et l’adaptation de leurs compétences aux spécificités de la prise en charge médicale des personnes handicapées, ou encore la lutte contre le refus de soin, ne font pas l’objet de mesures, ou donnent lieu à des mesures insuffisantes. </w:t>
      </w:r>
    </w:p>
    <w:p w:rsidRPr="00844324" w:rsidR="00844324" w:rsidP="00844324" w:rsidRDefault="00844324" w14:paraId="293CFCFE" w14:textId="77777777">
      <w:pPr>
        <w:rPr>
          <w:rFonts w:ascii="Arial" w:hAnsi="Arial" w:cs="Arial"/>
          <w:lang w:val="fr-FR"/>
        </w:rPr>
      </w:pPr>
    </w:p>
    <w:p w:rsidRPr="00844324" w:rsidR="00844324" w:rsidP="00CE016A" w:rsidRDefault="00844324" w14:paraId="23C267E1" w14:textId="77777777">
      <w:pPr>
        <w:numPr>
          <w:ilvl w:val="0"/>
          <w:numId w:val="1"/>
        </w:numPr>
        <w:ind w:left="0" w:firstLine="0"/>
        <w:rPr>
          <w:rFonts w:ascii="Arial" w:hAnsi="Arial" w:cs="Arial"/>
          <w:lang w:val="fr-FR"/>
        </w:rPr>
      </w:pPr>
      <w:r w:rsidRPr="00844324">
        <w:rPr>
          <w:rFonts w:ascii="Arial" w:hAnsi="Arial" w:cs="Arial"/>
          <w:lang w:val="fr-FR"/>
        </w:rPr>
        <w:t>Les organisations réclamantes soutiennent, sur la base des constats formulés par la CNCDH, la Défenseure des droits et la Rapporteuse spéciale des Nations Unies dans son rapport de 2019, que les mesures prises jusqu’à présent en vue d’assurer l’accessibilité des services de santé sont insuffisantes et que la situation de la France n’est pas conforme à l’article 11§1 de la Charte.</w:t>
      </w:r>
    </w:p>
    <w:p w:rsidRPr="00844324" w:rsidR="00844324" w:rsidP="00844324" w:rsidRDefault="00844324" w14:paraId="7417E0C7" w14:textId="77777777">
      <w:pPr>
        <w:rPr>
          <w:rFonts w:ascii="Arial" w:hAnsi="Arial" w:cs="Arial"/>
          <w:lang w:val="fr-FR"/>
        </w:rPr>
      </w:pPr>
    </w:p>
    <w:p w:rsidRPr="00844324" w:rsidR="00844324" w:rsidP="003E6AC0" w:rsidRDefault="00844324" w14:paraId="53171B6B" w14:textId="77777777">
      <w:pPr>
        <w:numPr>
          <w:ilvl w:val="0"/>
          <w:numId w:val="15"/>
        </w:numPr>
        <w:tabs>
          <w:tab w:val="left" w:pos="709"/>
        </w:tabs>
        <w:ind w:left="0" w:firstLine="0"/>
        <w:rPr>
          <w:rFonts w:ascii="Arial" w:hAnsi="Arial" w:cs="Arial"/>
          <w:b/>
          <w:bCs/>
          <w:lang w:val="fr-FR"/>
        </w:rPr>
      </w:pPr>
      <w:r w:rsidRPr="00844324">
        <w:rPr>
          <w:rFonts w:ascii="Arial" w:hAnsi="Arial" w:cs="Arial"/>
          <w:b/>
          <w:bCs/>
          <w:lang w:val="fr-FR"/>
        </w:rPr>
        <w:t>Le Gouvernement défendeur</w:t>
      </w:r>
    </w:p>
    <w:p w:rsidRPr="00844324" w:rsidR="00844324" w:rsidP="00844324" w:rsidRDefault="00844324" w14:paraId="700EB2F9" w14:textId="77777777">
      <w:pPr>
        <w:rPr>
          <w:rFonts w:ascii="Arial" w:hAnsi="Arial" w:cs="Arial"/>
          <w:lang w:val="fr-FR"/>
        </w:rPr>
      </w:pPr>
    </w:p>
    <w:p w:rsidRPr="00844324" w:rsidR="00844324" w:rsidP="00CE016A" w:rsidRDefault="00844324" w14:paraId="2E5F6F23" w14:textId="77777777">
      <w:pPr>
        <w:numPr>
          <w:ilvl w:val="0"/>
          <w:numId w:val="1"/>
        </w:numPr>
        <w:ind w:left="0" w:firstLine="0"/>
        <w:rPr>
          <w:rFonts w:ascii="Arial" w:hAnsi="Arial" w:cs="Arial"/>
          <w:lang w:val="fr-FR"/>
        </w:rPr>
      </w:pPr>
      <w:r w:rsidRPr="00844324">
        <w:rPr>
          <w:rFonts w:ascii="Arial" w:hAnsi="Arial" w:cs="Arial"/>
          <w:lang w:val="fr-FR"/>
        </w:rPr>
        <w:t>Le Gouvernement fait valoir que des mesures ont été prises pour garantir l’accès des personnes handicapées aux services de santé destinés à la population générale grâce au déploiement des lieux de soins adaptés sur l’ensemble des territoires. En 2021, il a lancé l’expérimentation, dans plusieurs territoires, de nouvelles règles de financement pour faciliter l’accès aux soins de ville des personnes en situation de handicap accompagnées par des établissements et services médico-sociaux. Il a également accompagné des opérateurs des téléconsultations afin qu’elles soient rendues accessibles à toutes les personnes handicapées. Il fait valoir que la mise en accessibilité téléphonique des hôpitaux et établissements de santé a été assurée pour faciliter les prises de rendez-vous et le suivi des consultations. Il indique également qu’un module « handicap » a été intégré dans la formation initiale des médecins.</w:t>
      </w:r>
    </w:p>
    <w:p w:rsidRPr="00844324" w:rsidR="00844324" w:rsidP="00844324" w:rsidRDefault="00844324" w14:paraId="1E375B86" w14:textId="77777777">
      <w:pPr>
        <w:rPr>
          <w:rFonts w:ascii="Arial" w:hAnsi="Arial" w:cs="Arial"/>
          <w:lang w:val="fr-FR"/>
        </w:rPr>
      </w:pPr>
    </w:p>
    <w:p w:rsidRPr="00844324" w:rsidR="00844324" w:rsidP="00CE016A" w:rsidRDefault="00844324" w14:paraId="4CBED3EF" w14:textId="7EF4DF62">
      <w:pPr>
        <w:numPr>
          <w:ilvl w:val="0"/>
          <w:numId w:val="1"/>
        </w:numPr>
        <w:ind w:left="0" w:firstLine="0"/>
        <w:rPr>
          <w:rFonts w:ascii="Arial" w:hAnsi="Arial" w:cs="Arial"/>
          <w:lang w:val="fr-FR"/>
        </w:rPr>
      </w:pPr>
      <w:r w:rsidRPr="00844324">
        <w:rPr>
          <w:rFonts w:ascii="Arial" w:hAnsi="Arial" w:cs="Arial"/>
          <w:lang w:val="fr-FR"/>
        </w:rPr>
        <w:t xml:space="preserve">Le Gouvernement souligne que plusieurs mesures ont été adoptées lors de la réunion du Comité interministériel du handicap d’octobre 2018, notamment l’amélioration du financement des aides techniques et l’organisation du dépistage bucco-dentaire en établissements médico-sociaux accueillant des enfants et des adolescents.   </w:t>
      </w:r>
    </w:p>
    <w:p w:rsidRPr="00844324" w:rsidR="00844324" w:rsidP="00844324" w:rsidRDefault="00844324" w14:paraId="4FD550C3" w14:textId="77777777">
      <w:pPr>
        <w:ind w:left="360"/>
        <w:rPr>
          <w:rFonts w:ascii="Arial" w:hAnsi="Arial" w:cs="Arial"/>
          <w:lang w:val="fr-FR"/>
        </w:rPr>
      </w:pPr>
    </w:p>
    <w:p w:rsidRPr="00844324" w:rsidR="00844324" w:rsidP="00CE016A" w:rsidRDefault="00844324" w14:paraId="458839FB" w14:textId="77777777">
      <w:pPr>
        <w:numPr>
          <w:ilvl w:val="0"/>
          <w:numId w:val="1"/>
        </w:numPr>
        <w:ind w:left="0" w:firstLine="0"/>
        <w:rPr>
          <w:rFonts w:ascii="Arial" w:hAnsi="Arial" w:cs="Arial"/>
          <w:lang w:val="fr-FR"/>
        </w:rPr>
      </w:pPr>
      <w:r w:rsidRPr="00844324">
        <w:rPr>
          <w:rFonts w:ascii="Arial" w:hAnsi="Arial" w:cs="Arial"/>
          <w:lang w:val="fr-FR"/>
        </w:rPr>
        <w:t xml:space="preserve">De plus, selon le Gouvernement, dans le cadre de la stratégie nationale pour l’autisme, plusieurs mesures dans le domaine de l’accès aux soins sont prévues, incluant la diffusion de bonnes pratiques professionnelles portant sur l’accueil et l’organisation des soins pour les personnes en situation de handicap, la sensibilisation des professionnels de santé et une évolution de la tarification des </w:t>
      </w:r>
      <w:r w:rsidRPr="00844324">
        <w:rPr>
          <w:rFonts w:ascii="Arial" w:hAnsi="Arial" w:cs="Arial"/>
          <w:lang w:val="fr-FR"/>
        </w:rPr>
        <w:lastRenderedPageBreak/>
        <w:t>consultations médicales pour mieux prendre en compte leur complexité et leur durée. En septembre 2017, la</w:t>
      </w:r>
      <w:r w:rsidRPr="00844324">
        <w:rPr>
          <w:rFonts w:ascii="Arial" w:hAnsi="Arial" w:cs="Arial"/>
          <w:i/>
          <w:iCs/>
          <w:lang w:val="fr-FR"/>
        </w:rPr>
        <w:t xml:space="preserve"> </w:t>
      </w:r>
      <w:r w:rsidRPr="00844324">
        <w:rPr>
          <w:rFonts w:ascii="Arial" w:hAnsi="Arial" w:cs="Arial"/>
          <w:iCs/>
          <w:lang w:val="fr-FR"/>
        </w:rPr>
        <w:t>Haute Autorité de Santé</w:t>
      </w:r>
      <w:r w:rsidRPr="00844324">
        <w:rPr>
          <w:rFonts w:ascii="Arial" w:hAnsi="Arial" w:cs="Arial"/>
          <w:lang w:val="fr-FR"/>
        </w:rPr>
        <w:t xml:space="preserve"> a diffusé un guide sur l’accueil, l’accompagnement et l’organisation des soins en établissement de santé pour les personnes en situation de handicap.</w:t>
      </w:r>
    </w:p>
    <w:p w:rsidRPr="00844324" w:rsidR="00844324" w:rsidP="00A86354" w:rsidRDefault="00844324" w14:paraId="162536AA" w14:textId="77777777">
      <w:pPr>
        <w:ind w:left="360"/>
        <w:rPr>
          <w:rFonts w:ascii="Arial" w:hAnsi="Arial" w:cs="Arial"/>
          <w:lang w:val="fr-FR"/>
        </w:rPr>
      </w:pPr>
    </w:p>
    <w:p w:rsidRPr="00844324" w:rsidR="00844324" w:rsidP="00CE016A" w:rsidRDefault="00844324" w14:paraId="2CAEE17D" w14:textId="77777777">
      <w:pPr>
        <w:numPr>
          <w:ilvl w:val="0"/>
          <w:numId w:val="1"/>
        </w:numPr>
        <w:ind w:left="0" w:firstLine="0"/>
        <w:rPr>
          <w:rFonts w:ascii="Arial" w:hAnsi="Arial" w:cs="Arial"/>
          <w:lang w:val="fr-FR"/>
        </w:rPr>
      </w:pPr>
      <w:r w:rsidRPr="00844324">
        <w:rPr>
          <w:rFonts w:ascii="Arial" w:hAnsi="Arial" w:cs="Arial"/>
          <w:lang w:val="fr-FR"/>
        </w:rPr>
        <w:t xml:space="preserve">S’agissant plus particulièrement du « refus de prise en charge ponctuelle » (ou des délais très importants pour recevoir des soins), le Gouvernement français s’est engagé en 2020 à déployer une offre de consultations spécialement dédiée aux personnes porteuses de handicap dans les établissements de santé. L’objectif de ces consultations était de favoriser l’accès aux soins et de proposer une réponse spécifiquement adaptée aux besoins des personnes en situation de handicap.  </w:t>
      </w:r>
    </w:p>
    <w:p w:rsidRPr="00844324" w:rsidR="00D64539" w:rsidP="00D64539" w:rsidRDefault="00D64539" w14:paraId="55BBE6CE" w14:textId="77777777">
      <w:pPr>
        <w:rPr>
          <w:rFonts w:ascii="Arial" w:hAnsi="Arial" w:cs="Arial"/>
          <w:lang w:val="fr-FR"/>
        </w:rPr>
      </w:pPr>
    </w:p>
    <w:p w:rsidRPr="00844324" w:rsidR="00844324" w:rsidP="00A86354" w:rsidRDefault="00844324" w14:paraId="34924483" w14:textId="77777777">
      <w:pPr>
        <w:rPr>
          <w:rFonts w:ascii="Arial" w:hAnsi="Arial" w:cs="Arial"/>
          <w:b/>
          <w:bCs/>
          <w:lang w:val="fr-FR"/>
        </w:rPr>
      </w:pPr>
      <w:r w:rsidRPr="00844324">
        <w:rPr>
          <w:rFonts w:ascii="Arial" w:hAnsi="Arial" w:cs="Arial"/>
          <w:b/>
          <w:bCs/>
          <w:lang w:val="fr-FR"/>
        </w:rPr>
        <w:t>B. Appréciation du Comité</w:t>
      </w:r>
    </w:p>
    <w:p w:rsidRPr="00844324" w:rsidR="00844324" w:rsidP="00A86354" w:rsidRDefault="00844324" w14:paraId="6A5B1FFE" w14:textId="77777777">
      <w:pPr>
        <w:rPr>
          <w:rFonts w:ascii="Arial" w:hAnsi="Arial" w:cs="Arial"/>
          <w:lang w:val="fr-FR"/>
        </w:rPr>
      </w:pPr>
    </w:p>
    <w:p w:rsidRPr="00844324" w:rsidR="00844324" w:rsidP="00CE016A" w:rsidRDefault="00844324" w14:paraId="44E73B46" w14:textId="78CA8C42">
      <w:pPr>
        <w:numPr>
          <w:ilvl w:val="0"/>
          <w:numId w:val="1"/>
        </w:numPr>
        <w:ind w:left="0" w:firstLine="0"/>
        <w:rPr>
          <w:rFonts w:ascii="Arial" w:hAnsi="Arial" w:cs="Arial"/>
          <w:lang w:val="fr-FR"/>
        </w:rPr>
      </w:pPr>
      <w:r w:rsidRPr="00844324">
        <w:rPr>
          <w:rFonts w:ascii="Arial" w:hAnsi="Arial" w:cs="Arial"/>
          <w:color w:val="000000"/>
          <w:shd w:val="clear" w:color="auto" w:fill="FFFFFF"/>
          <w:lang w:val="fr-FR"/>
        </w:rPr>
        <w:t>Le Comité rappelle que le droit à la protection de la santé comprend le droit d’accès aux soins de santé et que l’accès aux soins de santé doit être assuré à tous sans discrimination. Cela implique que les soins de santé doivent être effectifs et abordables pour tous, et que les groupes vulnérables particulièrement exposés à de hauts risques, tels que les personnes handicapées, doivent être protégés de manière appropriée (voir, par exemple, </w:t>
      </w:r>
      <w:r w:rsidRPr="00A86354" w:rsidR="00D64539">
        <w:rPr>
          <w:rFonts w:ascii="Arial" w:hAnsi="Arial" w:cs="Arial"/>
          <w:color w:val="000000"/>
          <w:shd w:val="clear" w:color="auto" w:fill="FFFFFF"/>
          <w:lang w:val="fr-FR"/>
        </w:rPr>
        <w:t>Commission internationale de juristes (CIJ) et Conseil européen sur les réfugiés et exilés (ECRE)</w:t>
      </w:r>
      <w:r w:rsidRPr="00844324">
        <w:rPr>
          <w:rFonts w:ascii="Arial" w:hAnsi="Arial" w:cs="Arial"/>
          <w:color w:val="000000"/>
          <w:shd w:val="clear" w:color="auto" w:fill="FFFFFF"/>
          <w:lang w:val="fr-FR"/>
        </w:rPr>
        <w:t xml:space="preserve">, réclamation n° 173/2018, décision sur le bien-fondé du 26 janvier 2021, </w:t>
      </w:r>
      <w:r w:rsidRPr="00A86354" w:rsidR="00D64539">
        <w:rPr>
          <w:rFonts w:ascii="Arial" w:hAnsi="Arial" w:cs="Arial"/>
          <w:color w:val="000000"/>
          <w:shd w:val="clear" w:color="auto" w:fill="FFFFFF"/>
          <w:lang w:val="fr-FR"/>
        </w:rPr>
        <w:t>par.</w:t>
      </w:r>
      <w:r w:rsidRPr="00844324">
        <w:rPr>
          <w:rFonts w:ascii="Arial" w:hAnsi="Arial" w:cs="Arial"/>
          <w:color w:val="000000"/>
          <w:shd w:val="clear" w:color="auto" w:fill="FFFFFF"/>
          <w:lang w:val="fr-FR"/>
        </w:rPr>
        <w:t> 218). Cela implique aussi que les professionnels et équipements de santé soient en nombre suffisant (Conclusions 2017, Serbie, article 11§1).</w:t>
      </w:r>
    </w:p>
    <w:p w:rsidRPr="00844324" w:rsidR="00D64539" w:rsidP="00D64539" w:rsidRDefault="00D64539" w14:paraId="1D6B8CF7" w14:textId="77777777">
      <w:pPr>
        <w:rPr>
          <w:rFonts w:ascii="Arial" w:hAnsi="Arial" w:cs="Arial"/>
          <w:lang w:val="fr-FR"/>
        </w:rPr>
      </w:pPr>
    </w:p>
    <w:p w:rsidRPr="00844324" w:rsidR="00844324" w:rsidP="00CE016A" w:rsidRDefault="00844324" w14:paraId="3F448EFB" w14:textId="7D76F651">
      <w:pPr>
        <w:numPr>
          <w:ilvl w:val="0"/>
          <w:numId w:val="1"/>
        </w:numPr>
        <w:ind w:left="0" w:firstLine="0"/>
        <w:rPr>
          <w:rFonts w:ascii="Arial" w:hAnsi="Arial" w:cs="Arial"/>
          <w:lang w:val="fr-FR"/>
        </w:rPr>
      </w:pPr>
      <w:r w:rsidRPr="00844324">
        <w:rPr>
          <w:rFonts w:ascii="Arial" w:hAnsi="Arial" w:cs="Arial"/>
          <w:lang w:val="fr-FR"/>
        </w:rPr>
        <w:t xml:space="preserve">Dans le cadre des obligations découlant de l'article 11§1, les Etats parties sont tenus de fournir des soins appropriés et opportuns sur une base non discriminatoire. Un système de soins de santé qui ne prévoit pas les besoins spécifiques des personnes handicapées en termes de garantie de l'accessibilité des services de soins de santé, ne sera pas conforme à l'article 11§1 de la Charte (voir, </w:t>
      </w:r>
      <w:r w:rsidRPr="00844324">
        <w:rPr>
          <w:rFonts w:ascii="Arial" w:hAnsi="Arial" w:cs="Arial"/>
          <w:i/>
          <w:iCs/>
          <w:lang w:val="fr-FR"/>
        </w:rPr>
        <w:t>mutatis mutandis,</w:t>
      </w:r>
      <w:r w:rsidRPr="00844324">
        <w:rPr>
          <w:rFonts w:ascii="Arial" w:hAnsi="Arial" w:cs="Arial"/>
          <w:color w:val="000000"/>
          <w:shd w:val="clear" w:color="auto" w:fill="FFFFFF"/>
          <w:lang w:val="fr-FR"/>
        </w:rPr>
        <w:t xml:space="preserve"> Fédération internationale pour la planification familiale - Réseau européen (IPPF</w:t>
      </w:r>
      <w:r w:rsidR="003E6AC0">
        <w:rPr>
          <w:rFonts w:ascii="Arial" w:hAnsi="Arial" w:cs="Arial"/>
          <w:color w:val="000000"/>
          <w:shd w:val="clear" w:color="auto" w:fill="FFFFFF"/>
          <w:lang w:val="fr-FR"/>
        </w:rPr>
        <w:t>-</w:t>
      </w:r>
      <w:r w:rsidRPr="00844324">
        <w:rPr>
          <w:rFonts w:ascii="Arial" w:hAnsi="Arial" w:cs="Arial"/>
          <w:color w:val="000000"/>
          <w:shd w:val="clear" w:color="auto" w:fill="FFFFFF"/>
          <w:lang w:val="fr-FR"/>
        </w:rPr>
        <w:t xml:space="preserve">EN) c. Italie, </w:t>
      </w:r>
      <w:r w:rsidRPr="00A86354" w:rsidR="00D64539">
        <w:rPr>
          <w:rFonts w:ascii="Arial" w:hAnsi="Arial" w:cs="Arial"/>
          <w:color w:val="000000"/>
          <w:shd w:val="clear" w:color="auto" w:fill="FFFFFF"/>
          <w:lang w:val="fr-FR"/>
        </w:rPr>
        <w:t>r</w:t>
      </w:r>
      <w:r w:rsidRPr="00844324">
        <w:rPr>
          <w:rFonts w:ascii="Arial" w:hAnsi="Arial" w:cs="Arial"/>
          <w:color w:val="000000"/>
          <w:shd w:val="clear" w:color="auto" w:fill="FFFFFF"/>
          <w:lang w:val="fr-FR"/>
        </w:rPr>
        <w:t>éclamation n° 87/2012, décision sur le bien-fondé du 10 septembre 2013)</w:t>
      </w:r>
      <w:r w:rsidRPr="00844324">
        <w:rPr>
          <w:rFonts w:ascii="Arial" w:hAnsi="Arial" w:cs="Arial"/>
          <w:lang w:val="fr-FR"/>
        </w:rPr>
        <w:t>.</w:t>
      </w:r>
    </w:p>
    <w:p w:rsidRPr="00844324" w:rsidR="00844324" w:rsidP="00A86354" w:rsidRDefault="00844324" w14:paraId="442DFBA4" w14:textId="77777777">
      <w:pPr>
        <w:rPr>
          <w:rFonts w:ascii="Arial" w:hAnsi="Arial" w:cs="Arial"/>
          <w:lang w:val="fr-FR"/>
        </w:rPr>
      </w:pPr>
    </w:p>
    <w:p w:rsidRPr="00844324" w:rsidR="00844324" w:rsidP="00CE016A" w:rsidRDefault="00844324" w14:paraId="331B8EDB" w14:textId="5E3CA662">
      <w:pPr>
        <w:numPr>
          <w:ilvl w:val="0"/>
          <w:numId w:val="1"/>
        </w:numPr>
        <w:ind w:left="0" w:firstLine="0"/>
        <w:rPr>
          <w:rFonts w:ascii="Arial" w:hAnsi="Arial" w:cs="Arial"/>
          <w:lang w:val="fr-FR"/>
        </w:rPr>
      </w:pPr>
      <w:r w:rsidRPr="00844324">
        <w:rPr>
          <w:rFonts w:ascii="Arial" w:hAnsi="Arial" w:cs="Arial"/>
          <w:lang w:val="fr-FR"/>
        </w:rPr>
        <w:t>Le Comité rappelle que lorsque la réalisation de l'un des droits protégés par la Charte est exceptionnellement complexe et particulièrement coûteuse à résoudre, comme c'est le cas de l'article 11</w:t>
      </w:r>
      <w:r w:rsidRPr="00A86354" w:rsidR="00441F7C">
        <w:rPr>
          <w:rFonts w:ascii="Arial" w:hAnsi="Arial" w:cs="Arial"/>
          <w:lang w:val="fr-FR"/>
        </w:rPr>
        <w:t>§</w:t>
      </w:r>
      <w:r w:rsidRPr="00844324">
        <w:rPr>
          <w:rFonts w:ascii="Arial" w:hAnsi="Arial" w:cs="Arial"/>
          <w:lang w:val="fr-FR"/>
        </w:rPr>
        <w:t>1 en l'espèce,</w:t>
      </w:r>
      <w:r w:rsidRPr="00844324">
        <w:rPr>
          <w:rFonts w:asciiTheme="minorHAnsi" w:hAnsiTheme="minorHAnsi" w:eastAsiaTheme="minorHAnsi" w:cstheme="minorBidi"/>
          <w:sz w:val="22"/>
          <w:szCs w:val="22"/>
          <w:lang w:val="fr-FR" w:eastAsia="en-US"/>
        </w:rPr>
        <w:t xml:space="preserve"> </w:t>
      </w:r>
      <w:r w:rsidRPr="00844324">
        <w:rPr>
          <w:rFonts w:ascii="Arial" w:hAnsi="Arial" w:cs="Arial"/>
          <w:lang w:val="fr-FR"/>
        </w:rPr>
        <w:t xml:space="preserve">un État partie doit prendre des mesures qui lui permettent d'atteindre les objectifs de la Charte dans un délai raisonnable, avec des progrès mesurables et dans une mesure compatible avec l'utilisation maximale des ressources disponibles (Autisme-Europe c. France, </w:t>
      </w:r>
      <w:r w:rsidRPr="00A86354" w:rsidR="00441F7C">
        <w:rPr>
          <w:rFonts w:ascii="Arial" w:hAnsi="Arial" w:cs="Arial"/>
          <w:lang w:val="fr-FR"/>
        </w:rPr>
        <w:t xml:space="preserve">réclamation n°13/2002, </w:t>
      </w:r>
      <w:r w:rsidRPr="00844324">
        <w:rPr>
          <w:rFonts w:ascii="Arial" w:hAnsi="Arial" w:cs="Arial"/>
          <w:i/>
          <w:iCs/>
          <w:lang w:val="fr-FR"/>
        </w:rPr>
        <w:t>op. cit.,</w:t>
      </w:r>
      <w:r w:rsidRPr="00844324">
        <w:rPr>
          <w:rFonts w:ascii="Arial" w:hAnsi="Arial" w:cs="Arial"/>
          <w:lang w:val="fr-FR"/>
        </w:rPr>
        <w:t xml:space="preserve"> </w:t>
      </w:r>
      <w:r w:rsidRPr="00A86354" w:rsidR="00441F7C">
        <w:rPr>
          <w:rFonts w:ascii="Arial" w:hAnsi="Arial" w:cs="Arial"/>
          <w:lang w:val="fr-FR"/>
        </w:rPr>
        <w:t xml:space="preserve">par. </w:t>
      </w:r>
      <w:r w:rsidRPr="00844324">
        <w:rPr>
          <w:rFonts w:ascii="Arial" w:hAnsi="Arial" w:cs="Arial"/>
          <w:lang w:val="fr-FR"/>
        </w:rPr>
        <w:t>53 ; AEH c. France</w:t>
      </w:r>
      <w:r w:rsidRPr="00844324">
        <w:rPr>
          <w:rFonts w:ascii="Arial" w:hAnsi="Arial" w:cs="Arial"/>
          <w:i/>
          <w:iCs/>
          <w:lang w:val="fr-FR"/>
        </w:rPr>
        <w:t xml:space="preserve"> </w:t>
      </w:r>
      <w:r w:rsidRPr="00844324">
        <w:rPr>
          <w:rFonts w:ascii="Arial" w:hAnsi="Arial" w:cs="Arial"/>
          <w:lang w:val="fr-FR"/>
        </w:rPr>
        <w:t xml:space="preserve">, </w:t>
      </w:r>
      <w:r w:rsidRPr="00A86354" w:rsidR="00441F7C">
        <w:rPr>
          <w:rFonts w:ascii="Arial" w:hAnsi="Arial" w:cs="Arial"/>
          <w:lang w:val="fr-FR"/>
        </w:rPr>
        <w:t xml:space="preserve">réclamation n° 81/2012, </w:t>
      </w:r>
      <w:r w:rsidRPr="00844324">
        <w:rPr>
          <w:rFonts w:ascii="Arial" w:hAnsi="Arial" w:cs="Arial"/>
          <w:i/>
          <w:iCs/>
          <w:lang w:val="fr-FR"/>
        </w:rPr>
        <w:t xml:space="preserve">op. cit., </w:t>
      </w:r>
      <w:r w:rsidRPr="00A86354" w:rsidR="00441F7C">
        <w:rPr>
          <w:rFonts w:ascii="Arial" w:hAnsi="Arial" w:cs="Arial"/>
          <w:lang w:val="fr-FR"/>
        </w:rPr>
        <w:t xml:space="preserve">par. </w:t>
      </w:r>
      <w:r w:rsidRPr="00844324">
        <w:rPr>
          <w:rFonts w:ascii="Arial" w:hAnsi="Arial" w:cs="Arial"/>
          <w:lang w:val="fr-FR"/>
        </w:rPr>
        <w:t xml:space="preserve">79).  </w:t>
      </w:r>
    </w:p>
    <w:p w:rsidRPr="00A86354" w:rsidR="00D64539" w:rsidP="00A86354" w:rsidRDefault="00D64539" w14:paraId="55933674" w14:textId="77777777">
      <w:pPr>
        <w:rPr>
          <w:rFonts w:ascii="Arial" w:hAnsi="Arial" w:cs="Arial"/>
          <w:lang w:val="fr-FR"/>
        </w:rPr>
      </w:pPr>
    </w:p>
    <w:p w:rsidRPr="00844324" w:rsidR="00844324" w:rsidP="00CE016A" w:rsidRDefault="00844324" w14:paraId="43443DF3" w14:textId="37661B57">
      <w:pPr>
        <w:numPr>
          <w:ilvl w:val="0"/>
          <w:numId w:val="1"/>
        </w:numPr>
        <w:ind w:left="0" w:firstLine="0"/>
        <w:rPr>
          <w:rFonts w:ascii="Arial" w:hAnsi="Arial" w:cs="Arial"/>
          <w:lang w:val="fr-FR"/>
        </w:rPr>
      </w:pPr>
      <w:r w:rsidRPr="00844324">
        <w:rPr>
          <w:rFonts w:ascii="Arial" w:hAnsi="Arial" w:cs="Arial"/>
          <w:lang w:val="fr-FR"/>
        </w:rPr>
        <w:t xml:space="preserve">Le Comité note également les observations de la CNCDH et de la Défenseure des droits concernant le nombre élevé de cas de refus de soins pour les personnes en situation de handicap. L’une et l’autre citent aussi des délais très importants pour l’accès aux soins, et les problèmes rencontrés par les personnes handicapées pour avoir accès aux informations sur les questions de santé. Le Comité note que, selon la Défenseure des droits, les problèmes liés à l’accessibilité des lieux de soins se sont aggravés depuis l’entrée en vigueur de la loi n° 2015-988 (concernant le report </w:t>
      </w:r>
      <w:r w:rsidRPr="00844324">
        <w:rPr>
          <w:rFonts w:ascii="Arial" w:hAnsi="Arial" w:cs="Arial"/>
          <w:lang w:val="fr-FR"/>
        </w:rPr>
        <w:lastRenderedPageBreak/>
        <w:t xml:space="preserve">des obligations de mise en accessibilité des établissements recevant du public). Ces allégations reflètent les constats formulés dans plusieurs rapports nationaux cités par les organisations réclamantes et le Gouvernement qui indiquent, concernant l’accès des personnes handicapées aux soins de santé, le rationnement des services de santé par la file d’attente, des renoncements aux soins pour des raisons financières et le manque de formation spécialisée des professionnels de santé (Pascal Jacob, </w:t>
      </w:r>
      <w:r w:rsidRPr="00844324">
        <w:rPr>
          <w:rFonts w:ascii="Arial" w:hAnsi="Arial" w:cs="Arial"/>
          <w:iCs/>
          <w:lang w:val="fr-FR"/>
        </w:rPr>
        <w:t xml:space="preserve">rapport de </w:t>
      </w:r>
      <w:r w:rsidRPr="00844324">
        <w:rPr>
          <w:rFonts w:ascii="Arial" w:hAnsi="Arial" w:cs="Arial"/>
          <w:lang w:val="fr-FR"/>
        </w:rPr>
        <w:t xml:space="preserve">2013 </w:t>
      </w:r>
      <w:r w:rsidRPr="00844324">
        <w:rPr>
          <w:rFonts w:ascii="Arial" w:hAnsi="Arial" w:cs="Arial"/>
          <w:iCs/>
          <w:lang w:val="fr-FR"/>
        </w:rPr>
        <w:t>sur l’accès aux soins et à la santé des personnes handicapées</w:t>
      </w:r>
      <w:r w:rsidRPr="00844324">
        <w:rPr>
          <w:rFonts w:ascii="Arial" w:hAnsi="Arial" w:cs="Arial"/>
          <w:lang w:val="fr-FR"/>
        </w:rPr>
        <w:t>).</w:t>
      </w:r>
    </w:p>
    <w:p w:rsidRPr="00844324" w:rsidR="00844324" w:rsidP="00A86354" w:rsidRDefault="00844324" w14:paraId="2C097DAD" w14:textId="511F0A3C">
      <w:pPr>
        <w:rPr>
          <w:rFonts w:ascii="Arial" w:hAnsi="Arial" w:cs="Arial"/>
          <w:lang w:val="fr-FR"/>
        </w:rPr>
      </w:pPr>
    </w:p>
    <w:p w:rsidRPr="00844324" w:rsidR="00844324" w:rsidP="00CE016A" w:rsidRDefault="00844324" w14:paraId="03272CFE" w14:textId="77777777">
      <w:pPr>
        <w:numPr>
          <w:ilvl w:val="0"/>
          <w:numId w:val="1"/>
        </w:numPr>
        <w:ind w:left="0" w:firstLine="0"/>
        <w:rPr>
          <w:rFonts w:ascii="Arial" w:hAnsi="Arial" w:cs="Arial"/>
          <w:lang w:val="fr-FR"/>
        </w:rPr>
      </w:pPr>
      <w:r w:rsidRPr="00844324">
        <w:rPr>
          <w:rFonts w:ascii="Arial" w:hAnsi="Arial" w:cs="Arial"/>
          <w:lang w:val="fr-FR"/>
        </w:rPr>
        <w:t>Le Comité estime que les allégations des organisations réclamantes concernent, d’une part, le manque d’accessibilité des bâtiments hospitaliers et des structures de soins et, d’autre part, l’absence de mise en œuvre de mesures appropriées pour répondre aux besoins spécifiques des personnes handicapées dans les lieux de soins (du fait, par exemple, de l’impréparation des professionnels de santé et du manque d’équipements adéquats et de lieux de prise en charge adaptés).</w:t>
      </w:r>
    </w:p>
    <w:p w:rsidRPr="00844324" w:rsidR="00844324" w:rsidP="00A86354" w:rsidRDefault="00844324" w14:paraId="10F5C945" w14:textId="7D7852A9">
      <w:pPr>
        <w:rPr>
          <w:rFonts w:ascii="Arial" w:hAnsi="Arial" w:cs="Arial"/>
          <w:lang w:val="fr-FR"/>
        </w:rPr>
      </w:pPr>
    </w:p>
    <w:p w:rsidRPr="00844324" w:rsidR="00844324" w:rsidP="00CE016A" w:rsidRDefault="00844324" w14:paraId="40370A00" w14:textId="606B03C0">
      <w:pPr>
        <w:numPr>
          <w:ilvl w:val="0"/>
          <w:numId w:val="1"/>
        </w:numPr>
        <w:ind w:left="0" w:firstLine="0"/>
        <w:rPr>
          <w:rFonts w:ascii="Arial" w:hAnsi="Arial" w:cs="Arial"/>
          <w:lang w:val="fr-FR"/>
        </w:rPr>
      </w:pPr>
      <w:r w:rsidRPr="00844324">
        <w:rPr>
          <w:rFonts w:ascii="Arial" w:hAnsi="Arial" w:cs="Arial"/>
          <w:lang w:val="fr-FR"/>
        </w:rPr>
        <w:t xml:space="preserve">Concernant le manque d’accessibilité des bâtiments hospitaliers et des structures de soins, le Comité renvoie à son appréciation, au titre de l’article 15§3, concernant le manque d’accessibilité des ERP, qui comprennent également les hôpitaux et les structures de soins (voir plus haut </w:t>
      </w:r>
      <w:r w:rsidR="008532B8">
        <w:rPr>
          <w:rFonts w:ascii="Arial" w:hAnsi="Arial" w:cs="Arial"/>
          <w:lang w:val="fr-FR"/>
        </w:rPr>
        <w:t>par.</w:t>
      </w:r>
      <w:r w:rsidRPr="00844324">
        <w:rPr>
          <w:rFonts w:ascii="Arial" w:hAnsi="Arial" w:cs="Arial"/>
          <w:lang w:val="fr-FR"/>
        </w:rPr>
        <w:t> 21</w:t>
      </w:r>
      <w:r w:rsidR="008532B8">
        <w:rPr>
          <w:rFonts w:ascii="Arial" w:hAnsi="Arial" w:cs="Arial"/>
          <w:lang w:val="fr-FR"/>
        </w:rPr>
        <w:t>3</w:t>
      </w:r>
      <w:r w:rsidRPr="00844324">
        <w:rPr>
          <w:rFonts w:ascii="Arial" w:hAnsi="Arial" w:cs="Arial"/>
          <w:lang w:val="fr-FR"/>
        </w:rPr>
        <w:t xml:space="preserve"> </w:t>
      </w:r>
      <w:r w:rsidRPr="00844324">
        <w:rPr>
          <w:rFonts w:ascii="Arial" w:hAnsi="Arial" w:cs="Arial"/>
          <w:i/>
          <w:iCs/>
          <w:lang w:val="fr-FR"/>
        </w:rPr>
        <w:t>et seq.</w:t>
      </w:r>
      <w:r w:rsidRPr="00844324">
        <w:rPr>
          <w:rFonts w:ascii="Arial" w:hAnsi="Arial" w:cs="Arial"/>
          <w:lang w:val="fr-FR"/>
        </w:rPr>
        <w:t xml:space="preserve">). </w:t>
      </w:r>
    </w:p>
    <w:p w:rsidRPr="00844324" w:rsidR="00844324" w:rsidP="00A86354" w:rsidRDefault="00844324" w14:paraId="1A8779BE" w14:textId="77777777">
      <w:pPr>
        <w:rPr>
          <w:rFonts w:ascii="Arial" w:hAnsi="Arial" w:cs="Arial"/>
          <w:lang w:val="fr-FR"/>
        </w:rPr>
      </w:pPr>
    </w:p>
    <w:p w:rsidRPr="00844324" w:rsidR="00844324" w:rsidP="00CE016A" w:rsidRDefault="00844324" w14:paraId="5A563C66" w14:textId="05910ACC">
      <w:pPr>
        <w:numPr>
          <w:ilvl w:val="0"/>
          <w:numId w:val="1"/>
        </w:numPr>
        <w:ind w:left="0" w:firstLine="0"/>
        <w:rPr>
          <w:rFonts w:ascii="Arial" w:hAnsi="Arial" w:cs="Arial"/>
          <w:lang w:val="fr-FR"/>
        </w:rPr>
      </w:pPr>
      <w:r w:rsidRPr="00844324">
        <w:rPr>
          <w:rFonts w:ascii="Arial" w:hAnsi="Arial" w:cs="Arial"/>
          <w:lang w:val="fr-FR"/>
        </w:rPr>
        <w:t>Le Comité note également les mesures annoncées lors de réunions successives du Comité interministériel du handicap, citées par le Gouvernement et la Défenseure des droits. Néanmoins, compte tenu de l’ampleur des problèmes persistants en matière d’accès des personnes handicapées aux soins de santé, il est d’avis que les mesures annoncées ne sont ni suffisantes</w:t>
      </w:r>
      <w:r w:rsidRPr="00A86354" w:rsidR="004E3D9E">
        <w:rPr>
          <w:rFonts w:ascii="Arial" w:hAnsi="Arial" w:cs="Arial"/>
          <w:lang w:val="fr-FR"/>
        </w:rPr>
        <w:t>,</w:t>
      </w:r>
      <w:r w:rsidRPr="00844324">
        <w:rPr>
          <w:rFonts w:ascii="Arial" w:hAnsi="Arial" w:cs="Arial"/>
          <w:lang w:val="fr-FR"/>
        </w:rPr>
        <w:t xml:space="preserve"> ni prises en temps utile.  </w:t>
      </w:r>
    </w:p>
    <w:p w:rsidRPr="00844324" w:rsidR="00844324" w:rsidP="00A86354" w:rsidRDefault="00844324" w14:paraId="3957EEBF" w14:textId="77777777">
      <w:pPr>
        <w:rPr>
          <w:rFonts w:ascii="Arial" w:hAnsi="Arial" w:cs="Arial"/>
          <w:lang w:val="fr-FR"/>
        </w:rPr>
      </w:pPr>
    </w:p>
    <w:p w:rsidRPr="00844324" w:rsidR="00844324" w:rsidP="00CE016A" w:rsidRDefault="00844324" w14:paraId="7D6ED91E" w14:textId="0B7B71E6">
      <w:pPr>
        <w:numPr>
          <w:ilvl w:val="0"/>
          <w:numId w:val="1"/>
        </w:numPr>
        <w:ind w:left="0" w:firstLine="0"/>
        <w:rPr>
          <w:rFonts w:ascii="Arial" w:hAnsi="Arial" w:cs="Arial"/>
          <w:lang w:val="fr-FR"/>
        </w:rPr>
      </w:pPr>
      <w:r w:rsidRPr="00844324">
        <w:rPr>
          <w:rFonts w:ascii="Arial" w:hAnsi="Arial" w:cs="Arial"/>
          <w:lang w:val="fr-FR"/>
        </w:rPr>
        <w:t>En outre, bien que des problèmes d’accessibilité dans les structures d’urgence et l’insuffisance de la formation des professionnels de santé aient été mis en évidence depuis 2013 dans des rapports nationaux (voir, par exemple, Pascal Jacob, rapport de 2013</w:t>
      </w:r>
      <w:r w:rsidR="001B68DB">
        <w:rPr>
          <w:rFonts w:ascii="Arial" w:hAnsi="Arial" w:cs="Arial"/>
          <w:lang w:val="fr-FR"/>
        </w:rPr>
        <w:t>, cité plus haut, par. 28</w:t>
      </w:r>
      <w:r w:rsidR="003E6AC0">
        <w:rPr>
          <w:rFonts w:ascii="Arial" w:hAnsi="Arial" w:cs="Arial"/>
          <w:lang w:val="fr-FR"/>
        </w:rPr>
        <w:t>7</w:t>
      </w:r>
      <w:r w:rsidRPr="00844324">
        <w:rPr>
          <w:rFonts w:ascii="Arial" w:hAnsi="Arial" w:cs="Arial"/>
          <w:lang w:val="fr-FR"/>
        </w:rPr>
        <w:t xml:space="preserve">), aucun progrès significatif n’a été accompli à ce jour en la matière. Le Gouvernement ne fournit pas non plus de précisions sur les recours disponibles pour les patients handicapés en cas de refus de soins, ni sur les mesures prises pour que les personnes en situation de handicap reçoivent toutes les informations nécessaires sur les questions de santé. Le </w:t>
      </w:r>
      <w:r w:rsidRPr="00A86354" w:rsidR="004E3D9E">
        <w:rPr>
          <w:rFonts w:ascii="Arial" w:hAnsi="Arial" w:cs="Arial"/>
          <w:lang w:val="fr-FR"/>
        </w:rPr>
        <w:t>G</w:t>
      </w:r>
      <w:r w:rsidRPr="00844324">
        <w:rPr>
          <w:rFonts w:ascii="Arial" w:hAnsi="Arial" w:cs="Arial"/>
          <w:lang w:val="fr-FR"/>
        </w:rPr>
        <w:t>ouvernement affirme que pour répondre à la problématique du refus de soins et des très longs délais d'accès aux soins, il a mis en place en 2020 « des consultations spécifiquement dédiées aux personnes handicapées dans les établissements de santé ». Toutefois, le gouvernement ne fournit aucune autre information sur la nature et les résultats concrets de ces consultations.</w:t>
      </w:r>
    </w:p>
    <w:p w:rsidRPr="00A86354" w:rsidR="004E3D9E" w:rsidP="00A86354" w:rsidRDefault="004E3D9E" w14:paraId="2F50505F" w14:textId="77777777">
      <w:pPr>
        <w:rPr>
          <w:rFonts w:ascii="Arial" w:hAnsi="Arial" w:cs="Arial"/>
          <w:lang w:val="fr-FR"/>
        </w:rPr>
      </w:pPr>
    </w:p>
    <w:p w:rsidRPr="00844324" w:rsidR="00844324" w:rsidP="00CE016A" w:rsidRDefault="00844324" w14:paraId="208C5BE5" w14:textId="2146AC65">
      <w:pPr>
        <w:numPr>
          <w:ilvl w:val="0"/>
          <w:numId w:val="1"/>
        </w:numPr>
        <w:ind w:left="0" w:firstLine="0"/>
        <w:rPr>
          <w:rFonts w:ascii="Arial" w:hAnsi="Arial" w:cs="Arial"/>
          <w:lang w:val="fr-FR"/>
        </w:rPr>
      </w:pPr>
      <w:r w:rsidRPr="00844324">
        <w:rPr>
          <w:rFonts w:ascii="Arial" w:hAnsi="Arial" w:cs="Arial"/>
          <w:lang w:val="fr-FR"/>
        </w:rPr>
        <w:t xml:space="preserve">Le Comité relève, à la lecture de la Stratégie nationale de santé 2018-2022, que des millions d'allocataires de l'AAH en situation de handicap ont moins recours aux soins que la population générale (10% de moins pour la médecine générale et 17% de moins pour le dentaire) (Enquête DREES, 2012, mentionnée par la Stratégie nationale de santé 2018-2022, p. 47). Le Comité considère donc que le gouvernement défendeur ne peut être réputé avoir dûment pris en compte les vulnérabilités accrues des personnes handicapées afin de leur assurer un accès effectif aux services et établissements de soins de santé sur un pied d'égalité avec toutes les autres personnes.  </w:t>
      </w:r>
    </w:p>
    <w:p w:rsidRPr="00844324" w:rsidR="00844324" w:rsidP="00844324" w:rsidRDefault="00844324" w14:paraId="43AE2DBE" w14:textId="77777777">
      <w:pPr>
        <w:rPr>
          <w:rFonts w:ascii="Arial" w:hAnsi="Arial" w:cs="Arial"/>
          <w:lang w:val="fr-FR"/>
        </w:rPr>
      </w:pPr>
    </w:p>
    <w:p w:rsidRPr="00844324" w:rsidR="00844324" w:rsidP="00CE016A" w:rsidRDefault="00844324" w14:paraId="0C1DABCB" w14:textId="317B22F3">
      <w:pPr>
        <w:numPr>
          <w:ilvl w:val="0"/>
          <w:numId w:val="1"/>
        </w:numPr>
        <w:ind w:left="0" w:firstLine="0"/>
        <w:rPr>
          <w:rFonts w:ascii="Arial" w:hAnsi="Arial" w:cs="Arial"/>
          <w:lang w:val="fr-FR"/>
        </w:rPr>
      </w:pPr>
      <w:r w:rsidRPr="00844324">
        <w:rPr>
          <w:rFonts w:ascii="Arial" w:hAnsi="Arial" w:cs="Arial"/>
          <w:lang w:val="fr-FR"/>
        </w:rPr>
        <w:t xml:space="preserve">Dans ces conditions, le Comité considère que la mise en œuvre des exigences d'accessibilité des établissements de santé (prévues dans la législation depuis 1975 et réaffirmées en 2005) et les mesures prises pour répondre aux besoins spécifiques des personnes handicapées dans les établissements de santé, ne peuvent être considérées comme conformes à l'exigence de l'article 11§1 selon laquelle les groupes vulnérables à risque particulièrement élevé de non-exercice de leur droit à la protection de la santé, y compris les personnes handicapées, doivent être protégés de manière adéquate. Par conséquent, on ne peut pas dire que les autorités aient réalisé des progrès suffisants et opportuns en ce qui concerne l'accessibilité des soins de santé pour les personnes handicapées. </w:t>
      </w:r>
    </w:p>
    <w:p w:rsidRPr="00844324" w:rsidR="00844324" w:rsidP="00844324" w:rsidRDefault="00844324" w14:paraId="69542F16" w14:textId="77777777">
      <w:pPr>
        <w:rPr>
          <w:rFonts w:ascii="Arial" w:hAnsi="Arial" w:cs="Arial"/>
          <w:lang w:val="fr-FR"/>
        </w:rPr>
      </w:pPr>
      <w:bookmarkStart w:name="_Hlk121319387" w:id="35"/>
    </w:p>
    <w:bookmarkEnd w:id="35"/>
    <w:p w:rsidRPr="00844324" w:rsidR="00844324" w:rsidP="00CE016A" w:rsidRDefault="00844324" w14:paraId="5D9F3C80" w14:textId="7458C148">
      <w:pPr>
        <w:numPr>
          <w:ilvl w:val="0"/>
          <w:numId w:val="1"/>
        </w:numPr>
        <w:ind w:left="0" w:firstLine="0"/>
        <w:rPr>
          <w:rFonts w:ascii="Arial" w:hAnsi="Arial" w:cs="Arial"/>
          <w:lang w:val="fr-FR"/>
        </w:rPr>
      </w:pPr>
      <w:r w:rsidRPr="00844324">
        <w:rPr>
          <w:rFonts w:ascii="Arial" w:hAnsi="Arial" w:cs="Arial"/>
          <w:lang w:val="fr-FR"/>
        </w:rPr>
        <w:t xml:space="preserve">Au vu de ce qui précède, le Comité </w:t>
      </w:r>
      <w:r w:rsidRPr="00A86354" w:rsidR="004E3D9E">
        <w:rPr>
          <w:rFonts w:ascii="Arial" w:hAnsi="Arial" w:cs="Arial"/>
          <w:lang w:val="fr-FR"/>
        </w:rPr>
        <w:t>dit</w:t>
      </w:r>
      <w:r w:rsidRPr="00844324">
        <w:rPr>
          <w:rFonts w:ascii="Arial" w:hAnsi="Arial" w:cs="Arial"/>
          <w:lang w:val="fr-FR"/>
        </w:rPr>
        <w:t xml:space="preserve"> qu'il y a violation de l'article 11§1 de la Charte au motif que les autorités n'ont pas adopté de mesures efficaces dans un délai raisonnable pour remédier aux problèmes persistants d'accès aux services de santé par des personnes handicapées.</w:t>
      </w:r>
    </w:p>
    <w:p w:rsidRPr="00A86354" w:rsidR="004E3D9E" w:rsidP="004E3D9E" w:rsidRDefault="004E3D9E" w14:paraId="7DB1E38C" w14:textId="2C735BF6">
      <w:pPr>
        <w:rPr>
          <w:rFonts w:ascii="Arial" w:hAnsi="Arial" w:cs="Arial"/>
          <w:lang w:val="fr-FR"/>
        </w:rPr>
      </w:pPr>
    </w:p>
    <w:p w:rsidRPr="00844324" w:rsidR="004E3D9E" w:rsidP="004E3D9E" w:rsidRDefault="004E3D9E" w14:paraId="609BA7A2" w14:textId="77777777">
      <w:pPr>
        <w:rPr>
          <w:rFonts w:ascii="Arial" w:hAnsi="Arial" w:cs="Arial"/>
          <w:lang w:val="fr-FR"/>
        </w:rPr>
      </w:pPr>
    </w:p>
    <w:p w:rsidRPr="00844324" w:rsidR="00844324" w:rsidP="00CE016A" w:rsidRDefault="00844324" w14:paraId="1032B1C2" w14:textId="77777777">
      <w:pPr>
        <w:numPr>
          <w:ilvl w:val="0"/>
          <w:numId w:val="3"/>
        </w:numPr>
        <w:tabs>
          <w:tab w:val="left" w:pos="709"/>
        </w:tabs>
        <w:ind w:hanging="1080"/>
        <w:rPr>
          <w:rFonts w:ascii="Arial" w:hAnsi="Arial" w:eastAsia="Calibri" w:cs="Arial"/>
          <w:b/>
          <w:lang w:val="fr-FR"/>
        </w:rPr>
      </w:pPr>
      <w:r w:rsidRPr="00844324">
        <w:rPr>
          <w:rFonts w:ascii="Arial" w:hAnsi="Arial" w:cs="Arial" w:eastAsiaTheme="majorEastAsia"/>
          <w:b/>
          <w:szCs w:val="26"/>
          <w:lang w:val="fr-FR"/>
        </w:rPr>
        <w:t>VIOLATION ALLÉGUÉE DE L’ARTICLE 16 DE LA CHARTE</w:t>
      </w:r>
    </w:p>
    <w:p w:rsidRPr="00844324" w:rsidR="004E3D9E" w:rsidP="004E3D9E" w:rsidRDefault="004E3D9E" w14:paraId="7BD97D21" w14:textId="77777777">
      <w:pPr>
        <w:rPr>
          <w:rFonts w:ascii="Arial" w:hAnsi="Arial" w:cs="Arial"/>
          <w:lang w:val="fr-FR"/>
        </w:rPr>
      </w:pPr>
    </w:p>
    <w:p w:rsidRPr="00844324" w:rsidR="00844324" w:rsidP="00CE016A" w:rsidRDefault="00844324" w14:paraId="6118A0AC" w14:textId="77777777">
      <w:pPr>
        <w:numPr>
          <w:ilvl w:val="0"/>
          <w:numId w:val="1"/>
        </w:numPr>
        <w:ind w:left="0" w:firstLine="0"/>
        <w:rPr>
          <w:rFonts w:ascii="Arial" w:hAnsi="Arial" w:cs="Arial"/>
          <w:lang w:val="fr-FR"/>
        </w:rPr>
      </w:pPr>
      <w:r w:rsidRPr="00A86354">
        <w:rPr>
          <w:rFonts w:ascii="Arial" w:hAnsi="Arial" w:cs="Arial"/>
          <w:lang w:val="fr-FR"/>
        </w:rPr>
        <w:t>L’article</w:t>
      </w:r>
      <w:r w:rsidRPr="00844324">
        <w:rPr>
          <w:rFonts w:ascii="Arial" w:hAnsi="Arial" w:cs="Arial"/>
          <w:iCs/>
          <w:lang w:val="fr-FR"/>
        </w:rPr>
        <w:t xml:space="preserve"> 16 de la Charte dispose :</w:t>
      </w:r>
      <w:r w:rsidRPr="00844324">
        <w:rPr>
          <w:rFonts w:ascii="Arial" w:hAnsi="Arial" w:cs="Arial"/>
          <w:lang w:val="fr-FR"/>
        </w:rPr>
        <w:t xml:space="preserve"> </w:t>
      </w:r>
    </w:p>
    <w:p w:rsidRPr="00844324" w:rsidR="004E3D9E" w:rsidP="004E3D9E" w:rsidRDefault="004E3D9E" w14:paraId="1F75BCE3" w14:textId="77777777">
      <w:pPr>
        <w:rPr>
          <w:rFonts w:ascii="Arial" w:hAnsi="Arial" w:cs="Arial"/>
          <w:lang w:val="fr-FR"/>
        </w:rPr>
      </w:pPr>
      <w:bookmarkStart w:name="_Hlk121319449" w:id="36"/>
    </w:p>
    <w:bookmarkEnd w:id="36"/>
    <w:p w:rsidRPr="00A86354" w:rsidR="004E3D9E" w:rsidP="004E3D9E" w:rsidRDefault="004E3D9E" w14:paraId="7A867EDB" w14:textId="77777777">
      <w:pPr>
        <w:ind w:firstLine="720"/>
        <w:rPr>
          <w:rFonts w:ascii="Arial" w:hAnsi="Arial" w:cs="Arial"/>
          <w:b/>
          <w:sz w:val="20"/>
          <w:szCs w:val="20"/>
          <w:lang w:val="fr-FR"/>
        </w:rPr>
      </w:pPr>
      <w:r w:rsidRPr="00A86354">
        <w:rPr>
          <w:rFonts w:ascii="Arial" w:hAnsi="Arial" w:cs="Arial"/>
          <w:b/>
          <w:sz w:val="20"/>
          <w:szCs w:val="20"/>
          <w:lang w:val="fr-FR"/>
        </w:rPr>
        <w:t>Article 16 – Droit de la famille à une protection sociale, juridique et économique</w:t>
      </w:r>
    </w:p>
    <w:p w:rsidRPr="00A86354" w:rsidR="004E3D9E" w:rsidP="004E3D9E" w:rsidRDefault="004E3D9E" w14:paraId="14BD8D6C" w14:textId="77777777">
      <w:pPr>
        <w:ind w:firstLine="720"/>
        <w:rPr>
          <w:rFonts w:ascii="Arial" w:hAnsi="Arial" w:cs="Arial"/>
          <w:b/>
          <w:sz w:val="20"/>
          <w:szCs w:val="20"/>
          <w:lang w:val="fr-FR"/>
        </w:rPr>
      </w:pPr>
    </w:p>
    <w:p w:rsidRPr="00A86354" w:rsidR="004E3D9E" w:rsidP="004E3D9E" w:rsidRDefault="004E3D9E" w14:paraId="46E7376F" w14:textId="77777777">
      <w:pPr>
        <w:ind w:left="720"/>
        <w:rPr>
          <w:rFonts w:ascii="Arial" w:hAnsi="Arial" w:cs="Arial"/>
          <w:sz w:val="20"/>
          <w:szCs w:val="20"/>
          <w:lang w:val="fr-FR"/>
        </w:rPr>
      </w:pPr>
      <w:r w:rsidRPr="00A86354">
        <w:rPr>
          <w:rFonts w:ascii="Arial" w:hAnsi="Arial" w:cs="Arial"/>
          <w:sz w:val="20"/>
          <w:szCs w:val="20"/>
          <w:lang w:val="fr-FR"/>
        </w:rPr>
        <w:t>Partie I : « La famille, en tant que cellule fondamentale de la société, a droit à une protection sociale, juridique et économique appropriée pour assurer son plein développement. »</w:t>
      </w:r>
    </w:p>
    <w:p w:rsidRPr="00A86354" w:rsidR="004E3D9E" w:rsidP="004E3D9E" w:rsidRDefault="004E3D9E" w14:paraId="2F4676F1" w14:textId="77777777">
      <w:pPr>
        <w:ind w:left="720"/>
        <w:rPr>
          <w:rFonts w:ascii="Arial" w:hAnsi="Arial" w:cs="Arial"/>
          <w:sz w:val="20"/>
          <w:szCs w:val="20"/>
          <w:lang w:val="fr-FR"/>
        </w:rPr>
      </w:pPr>
    </w:p>
    <w:p w:rsidRPr="00A86354" w:rsidR="004E3D9E" w:rsidP="004E3D9E" w:rsidRDefault="004E3D9E" w14:paraId="3D4DB851" w14:textId="77777777">
      <w:pPr>
        <w:ind w:left="720"/>
        <w:rPr>
          <w:rFonts w:ascii="Arial" w:hAnsi="Arial" w:cs="Arial"/>
          <w:sz w:val="20"/>
          <w:szCs w:val="20"/>
          <w:lang w:val="fr-FR"/>
        </w:rPr>
      </w:pPr>
      <w:r w:rsidRPr="00A86354">
        <w:rPr>
          <w:rFonts w:ascii="Arial" w:hAnsi="Arial" w:cs="Arial"/>
          <w:sz w:val="20"/>
          <w:szCs w:val="20"/>
          <w:lang w:val="fr-FR"/>
        </w:rPr>
        <w:t>Partie II : « En vue de réaliser les conditions de vie indispensables au plein épanouissement de la famille, cellule fondamentale de la société, les Parties s'engagent à promouvoir la protection économique, juridique et sociale de la vie de famille, notamment par le moyen de prestations sociales et familiales, de dispositions fiscales, d'encouragement à la construction de logements adaptés aux besoins des familles, d'aide aux jeunes foyers, ou de toutes autres mesures appropriées. »</w:t>
      </w:r>
    </w:p>
    <w:p w:rsidRPr="00844324" w:rsidR="004E3D9E" w:rsidP="004E3D9E" w:rsidRDefault="004E3D9E" w14:paraId="61A25EEF" w14:textId="77777777">
      <w:pPr>
        <w:rPr>
          <w:rFonts w:ascii="Arial" w:hAnsi="Arial" w:cs="Arial"/>
          <w:lang w:val="fr-FR"/>
        </w:rPr>
      </w:pPr>
    </w:p>
    <w:p w:rsidRPr="00A86354" w:rsidR="00FF47AF" w:rsidP="00FF47AF" w:rsidRDefault="00FF47AF" w14:paraId="2BC76F0E" w14:textId="77777777">
      <w:pPr>
        <w:keepNext/>
        <w:keepLines/>
        <w:tabs>
          <w:tab w:val="left" w:pos="567"/>
          <w:tab w:val="left" w:pos="709"/>
        </w:tabs>
        <w:outlineLvl w:val="2"/>
        <w:rPr>
          <w:rFonts w:ascii="Arial" w:hAnsi="Arial" w:cs="Arial" w:eastAsiaTheme="majorEastAsia"/>
          <w:b/>
          <w:bCs/>
          <w:kern w:val="1"/>
          <w:szCs w:val="26"/>
          <w:lang w:val="fr-FR" w:eastAsia="ar-SA"/>
        </w:rPr>
      </w:pPr>
      <w:r w:rsidRPr="00A86354">
        <w:rPr>
          <w:rFonts w:ascii="Arial" w:hAnsi="Arial" w:eastAsia="Calibri" w:cs="Arial"/>
          <w:b/>
          <w:bCs/>
          <w:lang w:val="fr-FR"/>
        </w:rPr>
        <w:t xml:space="preserve">A – </w:t>
      </w:r>
      <w:r w:rsidRPr="00A86354">
        <w:rPr>
          <w:rFonts w:ascii="Arial" w:hAnsi="Arial" w:cs="Arial" w:eastAsiaTheme="majorEastAsia"/>
          <w:b/>
          <w:bCs/>
          <w:kern w:val="1"/>
          <w:szCs w:val="26"/>
          <w:lang w:val="fr-FR" w:eastAsia="ar-SA"/>
        </w:rPr>
        <w:t>Arguments des parties</w:t>
      </w:r>
    </w:p>
    <w:p w:rsidRPr="00844324" w:rsidR="004E3D9E" w:rsidP="004E3D9E" w:rsidRDefault="004E3D9E" w14:paraId="12AFC92C" w14:textId="77777777">
      <w:pPr>
        <w:rPr>
          <w:rFonts w:ascii="Arial" w:hAnsi="Arial" w:cs="Arial"/>
          <w:lang w:val="fr-FR"/>
        </w:rPr>
      </w:pPr>
    </w:p>
    <w:p w:rsidRPr="00A86354" w:rsidR="00FF47AF" w:rsidP="00FF47AF" w:rsidRDefault="00FF47AF" w14:paraId="1298235B" w14:textId="12C90193">
      <w:pPr>
        <w:keepNext/>
        <w:keepLines/>
        <w:tabs>
          <w:tab w:val="left" w:pos="709"/>
        </w:tabs>
        <w:outlineLvl w:val="3"/>
        <w:rPr>
          <w:rFonts w:ascii="Arial" w:hAnsi="Arial" w:cs="Arial" w:eastAsiaTheme="majorEastAsia"/>
          <w:b/>
          <w:iCs/>
          <w:lang w:val="fr-FR"/>
        </w:rPr>
      </w:pPr>
      <w:r w:rsidRPr="00A86354">
        <w:rPr>
          <w:rFonts w:ascii="Arial" w:hAnsi="Arial" w:cs="Arial" w:eastAsiaTheme="majorEastAsia"/>
          <w:b/>
          <w:iCs/>
          <w:lang w:val="fr-FR"/>
        </w:rPr>
        <w:t>1.</w:t>
      </w:r>
      <w:r w:rsidRPr="00A86354">
        <w:rPr>
          <w:rFonts w:ascii="Arial" w:hAnsi="Arial" w:cs="Arial" w:eastAsiaTheme="majorEastAsia"/>
          <w:b/>
          <w:iCs/>
          <w:lang w:val="fr-FR"/>
        </w:rPr>
        <w:tab/>
        <w:t xml:space="preserve">Les organisations </w:t>
      </w:r>
      <w:r w:rsidRPr="00A86354" w:rsidR="004E3D9E">
        <w:rPr>
          <w:rFonts w:ascii="Arial" w:hAnsi="Arial" w:cs="Arial" w:eastAsiaTheme="majorEastAsia"/>
          <w:b/>
          <w:iCs/>
          <w:lang w:val="fr-FR"/>
        </w:rPr>
        <w:t>auteurs de la réclamation</w:t>
      </w:r>
    </w:p>
    <w:p w:rsidRPr="00A86354" w:rsidR="004E3D9E" w:rsidP="004E3D9E" w:rsidRDefault="004E3D9E" w14:paraId="54393E31" w14:textId="77777777">
      <w:pPr>
        <w:rPr>
          <w:rFonts w:ascii="Arial" w:hAnsi="Arial" w:cs="Arial"/>
          <w:lang w:val="fr-FR"/>
        </w:rPr>
      </w:pPr>
    </w:p>
    <w:p w:rsidRPr="00A86354" w:rsidR="00403D3C" w:rsidP="00CE016A" w:rsidRDefault="00FF47AF" w14:paraId="4DFA50B8" w14:textId="02D475D8">
      <w:pPr>
        <w:numPr>
          <w:ilvl w:val="0"/>
          <w:numId w:val="1"/>
        </w:numPr>
        <w:ind w:left="0" w:firstLine="0"/>
        <w:rPr>
          <w:rFonts w:ascii="Arial" w:hAnsi="Arial" w:cs="Arial"/>
          <w:lang w:val="fr-FR"/>
        </w:rPr>
      </w:pPr>
      <w:r w:rsidRPr="00A86354">
        <w:rPr>
          <w:rFonts w:ascii="Arial" w:hAnsi="Arial" w:cs="Arial"/>
          <w:lang w:val="fr-FR"/>
        </w:rPr>
        <w:t xml:space="preserve">EDF et Inclusion Europe allèguent que l’accès insuffisant à l’aide personnelle (services sociaux et aide financière) et aux services destinés à la population générale </w:t>
      </w:r>
      <w:r w:rsidRPr="00A86354" w:rsidR="001D7418">
        <w:rPr>
          <w:rFonts w:ascii="Arial" w:hAnsi="Arial" w:cs="Arial"/>
          <w:lang w:val="fr-FR"/>
        </w:rPr>
        <w:t>(</w:t>
      </w:r>
      <w:r w:rsidRPr="00A86354">
        <w:rPr>
          <w:rFonts w:ascii="Arial" w:hAnsi="Arial" w:cs="Arial"/>
          <w:lang w:val="fr-FR"/>
        </w:rPr>
        <w:t>bâtiments</w:t>
      </w:r>
      <w:r w:rsidRPr="00A86354" w:rsidR="001D7418">
        <w:rPr>
          <w:rFonts w:ascii="Arial" w:hAnsi="Arial" w:cs="Arial"/>
          <w:lang w:val="fr-FR"/>
        </w:rPr>
        <w:t>,</w:t>
      </w:r>
      <w:r w:rsidRPr="00A86354">
        <w:rPr>
          <w:rFonts w:ascii="Arial" w:hAnsi="Arial" w:cs="Arial"/>
          <w:lang w:val="fr-FR"/>
        </w:rPr>
        <w:t xml:space="preserve"> installations et transports publics</w:t>
      </w:r>
      <w:r w:rsidRPr="00A86354" w:rsidR="001D7418">
        <w:rPr>
          <w:rFonts w:ascii="Arial" w:hAnsi="Arial" w:cs="Arial"/>
          <w:lang w:val="fr-FR"/>
        </w:rPr>
        <w:t>)</w:t>
      </w:r>
      <w:r w:rsidRPr="00A86354">
        <w:rPr>
          <w:rFonts w:ascii="Arial" w:hAnsi="Arial" w:cs="Arial"/>
          <w:lang w:val="fr-FR"/>
        </w:rPr>
        <w:t>, nécessaire pour pouvoir vivre dans la société et s’y insérer, contribue aussi à placer les familles de personnes handicapées dans un état de fragilité.</w:t>
      </w:r>
    </w:p>
    <w:p w:rsidRPr="00A86354" w:rsidR="00403D3C" w:rsidP="00FF47AF" w:rsidRDefault="00403D3C" w14:paraId="313A62F1" w14:textId="77777777">
      <w:pPr>
        <w:pStyle w:val="ListParagraph"/>
        <w:rPr>
          <w:rFonts w:cs="Arial"/>
          <w:lang w:val="fr-FR"/>
        </w:rPr>
      </w:pPr>
    </w:p>
    <w:p w:rsidRPr="00A86354" w:rsidR="00FF47AF" w:rsidP="00CE016A" w:rsidRDefault="00FF47AF" w14:paraId="2A13DAF7" w14:textId="77777777">
      <w:pPr>
        <w:numPr>
          <w:ilvl w:val="0"/>
          <w:numId w:val="1"/>
        </w:numPr>
        <w:ind w:left="0" w:firstLine="0"/>
        <w:rPr>
          <w:rFonts w:ascii="Arial" w:hAnsi="Arial" w:cs="Arial"/>
          <w:lang w:val="fr-FR"/>
        </w:rPr>
      </w:pPr>
      <w:r w:rsidRPr="00A86354">
        <w:rPr>
          <w:rFonts w:ascii="Arial" w:hAnsi="Arial" w:cs="Arial"/>
          <w:lang w:val="fr-FR"/>
        </w:rPr>
        <w:t xml:space="preserve">Les organisations réclamantes soulignent que beaucoup de familles ont la charge de l’accompagnement de leurs membres handicapés, faute d’intégration sociale de ces derniers et de participation à la vie de la communauté. En raison des entraves existantes au choix du lieu de vie du fait de l’accès insuffisant aux services d’accompagnement spécifiques et aux services et équipements destinés à la population générale, les situations de cohabitations forcées sont nombreuses, y compris jusqu’à un âge très avancé. L’aidant, qui peut être un parent, un conjoint, un </w:t>
      </w:r>
      <w:r w:rsidRPr="00A86354">
        <w:rPr>
          <w:rFonts w:ascii="Arial" w:hAnsi="Arial" w:cs="Arial"/>
          <w:lang w:val="fr-FR"/>
        </w:rPr>
        <w:lastRenderedPageBreak/>
        <w:t>enfant ou un autre membre de la famille, est alors appelé à devoir accompagner la personne handicapée tout au long de sa vie.</w:t>
      </w:r>
    </w:p>
    <w:p w:rsidRPr="00A86354" w:rsidR="00403D3C" w:rsidP="00FF47AF" w:rsidRDefault="00403D3C" w14:paraId="51FA7459" w14:textId="77777777">
      <w:pPr>
        <w:pStyle w:val="ListParagraph"/>
        <w:rPr>
          <w:rFonts w:cs="Arial"/>
          <w:lang w:val="fr-FR"/>
        </w:rPr>
      </w:pPr>
    </w:p>
    <w:p w:rsidRPr="00A86354" w:rsidR="00FF47AF" w:rsidP="00CE016A" w:rsidRDefault="00FF47AF" w14:paraId="367FD4C9" w14:textId="77777777">
      <w:pPr>
        <w:numPr>
          <w:ilvl w:val="0"/>
          <w:numId w:val="1"/>
        </w:numPr>
        <w:ind w:left="0" w:firstLine="0"/>
        <w:rPr>
          <w:rFonts w:ascii="Arial" w:hAnsi="Arial" w:cs="Arial"/>
          <w:lang w:val="fr-FR"/>
        </w:rPr>
      </w:pPr>
      <w:r w:rsidRPr="00A86354">
        <w:rPr>
          <w:rFonts w:ascii="Arial" w:hAnsi="Arial" w:cs="Arial"/>
          <w:lang w:val="fr-FR"/>
        </w:rPr>
        <w:t xml:space="preserve">Renvoyant à un rapport de 2018 de l’Assemblée nationale sur les aidants, EDF et Inclusion Europe allèguent que la responsabilité qui pèse sur les familles est renforcée par la faible disponibilité de dispositifs d’aide aux aidants familiaux, qui restent limités en France. Se référant également à des rapports d’associations françaises d’aidants et de la Caisse nationale de solidarité pour l’autonomie (CNSA), EDF et Inclusion Europe soulignent que les familles se retrouvent confrontées à des difficultés telles que des situations d’épuisement, des problèmes de santé physique ou mentale, des tensions familiales et des difficultés à concilier vie familiale et vie professionnelle pouvant conduire à la cessation de l’activité professionnelle et à un risque d’exclusion sociale. Ces situations sont exacerbées dans le cas des familles monoparentales, de parents vieillissants, ou de handicap nécessitant une attention permanente ou accompagné de troubles du comportement. </w:t>
      </w:r>
    </w:p>
    <w:p w:rsidRPr="00A86354" w:rsidR="00403D3C" w:rsidP="00FF47AF" w:rsidRDefault="00403D3C" w14:paraId="19F7FC7B" w14:textId="77777777">
      <w:pPr>
        <w:pStyle w:val="ListParagraph"/>
        <w:rPr>
          <w:rFonts w:cs="Arial"/>
          <w:lang w:val="fr-FR"/>
        </w:rPr>
      </w:pPr>
    </w:p>
    <w:p w:rsidRPr="00A86354" w:rsidR="00FF47AF" w:rsidP="00CE016A" w:rsidRDefault="00FF47AF" w14:paraId="30FF8FA5" w14:textId="77777777">
      <w:pPr>
        <w:numPr>
          <w:ilvl w:val="0"/>
          <w:numId w:val="1"/>
        </w:numPr>
        <w:ind w:left="0" w:firstLine="0"/>
        <w:rPr>
          <w:rFonts w:ascii="Arial" w:hAnsi="Arial" w:cs="Arial"/>
          <w:lang w:val="fr-FR"/>
        </w:rPr>
      </w:pPr>
      <w:r w:rsidRPr="00A86354">
        <w:rPr>
          <w:rFonts w:ascii="Arial" w:hAnsi="Arial" w:cs="Arial"/>
          <w:lang w:val="fr-FR"/>
        </w:rPr>
        <w:t>Sur ces points, les organisations réclamantes présentent un certain nombre de témoignages et d’exemples recueillis par le service social de l’Unafam afin d’illustrer la fragilité des familles due à l’absence d’accès suffisant des personnes handicapées aux services d’accompagnement. Elles estiment en particulier que les départs imposés vers la Belgique et leurs conséquences sur les familles sont très révélateurs du manque de protection de la famille du fait de l’accès insuffisant aux services spécifiques en France.</w:t>
      </w:r>
    </w:p>
    <w:p w:rsidRPr="00A86354" w:rsidR="00FF47AF" w:rsidP="00FF47AF" w:rsidRDefault="00FF47AF" w14:paraId="57368894" w14:textId="77777777">
      <w:pPr>
        <w:pStyle w:val="ListParagraph"/>
        <w:rPr>
          <w:rFonts w:cs="Arial"/>
          <w:lang w:val="fr-FR"/>
        </w:rPr>
      </w:pPr>
    </w:p>
    <w:p w:rsidRPr="00A86354" w:rsidR="00FF47AF" w:rsidP="00CE016A" w:rsidRDefault="00FF47AF" w14:paraId="62227539" w14:textId="202509BB">
      <w:pPr>
        <w:numPr>
          <w:ilvl w:val="0"/>
          <w:numId w:val="1"/>
        </w:numPr>
        <w:ind w:left="0" w:firstLine="0"/>
        <w:rPr>
          <w:rFonts w:ascii="Arial" w:hAnsi="Arial" w:cs="Arial"/>
          <w:lang w:val="fr-FR"/>
        </w:rPr>
      </w:pPr>
      <w:r w:rsidRPr="00A86354">
        <w:rPr>
          <w:rFonts w:ascii="Arial" w:hAnsi="Arial" w:cs="Arial"/>
          <w:lang w:val="fr-FR"/>
        </w:rPr>
        <w:t>EDF et Inclusion Europe notent que la justice française (</w:t>
      </w:r>
      <w:r w:rsidRPr="00A86354" w:rsidR="00403D3C">
        <w:rPr>
          <w:rFonts w:ascii="Arial" w:hAnsi="Arial" w:cs="Arial"/>
          <w:lang w:val="fr-FR"/>
        </w:rPr>
        <w:t xml:space="preserve">Affaire Amélie Loquet, </w:t>
      </w:r>
      <w:r w:rsidRPr="00A86354">
        <w:rPr>
          <w:rFonts w:ascii="Arial" w:hAnsi="Arial" w:cs="Arial"/>
          <w:lang w:val="fr-FR"/>
        </w:rPr>
        <w:t>Tribunal administratif de Cergy-Pontoise, ordonnance en référé du 7 octobre 2013) a également considéré que l’absence de prise en charge adaptée de la fille des requérants, qui présentait de graves troubles du comportement, portait atteinte au droit à la sécurité et au droit de mener une vie privée et familiale.</w:t>
      </w:r>
    </w:p>
    <w:p w:rsidRPr="00A86354" w:rsidR="00FF47AF" w:rsidP="00FF47AF" w:rsidRDefault="00FF47AF" w14:paraId="5EF7F548" w14:textId="77777777">
      <w:pPr>
        <w:pStyle w:val="ListParagraph"/>
        <w:rPr>
          <w:rFonts w:cs="Arial"/>
          <w:lang w:val="fr-FR"/>
        </w:rPr>
      </w:pPr>
    </w:p>
    <w:p w:rsidRPr="00A86354" w:rsidR="00FF47AF" w:rsidP="00CE016A" w:rsidRDefault="00FF47AF" w14:paraId="6989A25F" w14:textId="0A6F437C">
      <w:pPr>
        <w:numPr>
          <w:ilvl w:val="0"/>
          <w:numId w:val="1"/>
        </w:numPr>
        <w:ind w:left="0" w:firstLine="0"/>
        <w:rPr>
          <w:rFonts w:ascii="Arial" w:hAnsi="Arial" w:cs="Arial"/>
          <w:lang w:val="fr-FR"/>
        </w:rPr>
      </w:pPr>
      <w:r w:rsidRPr="00A86354">
        <w:rPr>
          <w:rFonts w:ascii="Arial" w:hAnsi="Arial" w:cs="Arial"/>
          <w:lang w:val="fr-FR"/>
        </w:rPr>
        <w:t>Enfin, les organisations réclamantes affirment que beaucoup de membres de la famille contraints d’assurer tout ou partie de l’accompagnement de leur proche handicapé, faute d’accès à des services de proximité, y compris d’aide personnelle et de services destinés à la population générale, sont affectés par cette situation également sur le plan professionnel. Ces membres de la famille sont</w:t>
      </w:r>
      <w:r w:rsidRPr="00A86354" w:rsidR="001C4AE2">
        <w:rPr>
          <w:rFonts w:ascii="Arial" w:hAnsi="Arial" w:cs="Arial"/>
          <w:lang w:val="fr-FR"/>
        </w:rPr>
        <w:t xml:space="preserve"> souvent</w:t>
      </w:r>
      <w:r w:rsidRPr="00A86354">
        <w:rPr>
          <w:rFonts w:ascii="Arial" w:hAnsi="Arial" w:cs="Arial"/>
          <w:lang w:val="fr-FR"/>
        </w:rPr>
        <w:t xml:space="preserve"> contraints de diminuer, cesser ou modifier leur activité professionnelle. EDF et Inclusion Europe soulignent que cette situation impacte plus particulièrement les femmes puisque </w:t>
      </w:r>
      <w:r w:rsidRPr="00A86354" w:rsidR="001C4AE2">
        <w:rPr>
          <w:rFonts w:ascii="Arial" w:hAnsi="Arial" w:cs="Arial"/>
          <w:lang w:val="fr-FR"/>
        </w:rPr>
        <w:t>six</w:t>
      </w:r>
      <w:r w:rsidRPr="00A86354">
        <w:rPr>
          <w:rFonts w:ascii="Arial" w:hAnsi="Arial" w:cs="Arial"/>
          <w:lang w:val="fr-FR"/>
        </w:rPr>
        <w:t xml:space="preserve"> aidants sur </w:t>
      </w:r>
      <w:r w:rsidRPr="00A86354" w:rsidR="001C4AE2">
        <w:rPr>
          <w:rFonts w:ascii="Arial" w:hAnsi="Arial" w:cs="Arial"/>
          <w:lang w:val="fr-FR"/>
        </w:rPr>
        <w:t>dix</w:t>
      </w:r>
      <w:r w:rsidRPr="00A86354">
        <w:rPr>
          <w:rFonts w:ascii="Arial" w:hAnsi="Arial" w:cs="Arial"/>
          <w:lang w:val="fr-FR"/>
        </w:rPr>
        <w:t> sont des femmes.</w:t>
      </w:r>
    </w:p>
    <w:p w:rsidRPr="00A86354" w:rsidR="008F0D0E" w:rsidP="008F0D0E" w:rsidRDefault="008F0D0E" w14:paraId="3F9F880D" w14:textId="77777777">
      <w:pPr>
        <w:ind w:left="360" w:hanging="360"/>
        <w:rPr>
          <w:rFonts w:ascii="Arial" w:hAnsi="Arial" w:cs="Arial"/>
          <w:lang w:val="fr-FR"/>
        </w:rPr>
      </w:pPr>
    </w:p>
    <w:p w:rsidRPr="00A86354" w:rsidR="00FF47AF" w:rsidP="00FF47AF" w:rsidRDefault="00FF47AF" w14:paraId="5357E1EA" w14:textId="77777777">
      <w:pPr>
        <w:keepNext/>
        <w:keepLines/>
        <w:tabs>
          <w:tab w:val="left" w:pos="709"/>
        </w:tabs>
        <w:outlineLvl w:val="3"/>
        <w:rPr>
          <w:rFonts w:ascii="Arial" w:hAnsi="Arial" w:cs="Arial" w:eastAsiaTheme="majorEastAsia"/>
          <w:b/>
          <w:iCs/>
          <w:lang w:val="fr-FR"/>
        </w:rPr>
      </w:pPr>
      <w:r w:rsidRPr="00A86354">
        <w:rPr>
          <w:rFonts w:ascii="Arial" w:hAnsi="Arial" w:cs="Arial" w:eastAsiaTheme="majorEastAsia"/>
          <w:b/>
          <w:iCs/>
          <w:lang w:val="fr-FR"/>
        </w:rPr>
        <w:t>2.</w:t>
      </w:r>
      <w:r w:rsidRPr="00A86354">
        <w:rPr>
          <w:rFonts w:ascii="Arial" w:hAnsi="Arial" w:cs="Arial" w:eastAsiaTheme="majorEastAsia"/>
          <w:b/>
          <w:iCs/>
          <w:lang w:val="fr-FR"/>
        </w:rPr>
        <w:tab/>
        <w:t>Le Gouvernement défendeur</w:t>
      </w:r>
    </w:p>
    <w:p w:rsidRPr="00A86354" w:rsidR="008F0D0E" w:rsidP="008F0D0E" w:rsidRDefault="008F0D0E" w14:paraId="72A77A5B" w14:textId="77777777">
      <w:pPr>
        <w:ind w:left="360" w:hanging="360"/>
        <w:rPr>
          <w:rFonts w:ascii="Arial" w:hAnsi="Arial" w:cs="Arial"/>
          <w:lang w:val="fr-FR"/>
        </w:rPr>
      </w:pPr>
    </w:p>
    <w:p w:rsidRPr="00A86354" w:rsidR="001C4AE2" w:rsidP="00CE016A" w:rsidRDefault="00FF47AF" w14:paraId="4F5F72B4" w14:textId="444E182E">
      <w:pPr>
        <w:numPr>
          <w:ilvl w:val="0"/>
          <w:numId w:val="1"/>
        </w:numPr>
        <w:ind w:left="0" w:firstLine="0"/>
        <w:rPr>
          <w:rFonts w:ascii="Arial" w:hAnsi="Arial" w:cs="Arial"/>
          <w:lang w:val="fr-FR"/>
        </w:rPr>
      </w:pPr>
      <w:r w:rsidRPr="00A86354">
        <w:rPr>
          <w:rFonts w:ascii="Arial" w:hAnsi="Arial" w:cs="Arial"/>
          <w:lang w:val="fr-FR"/>
        </w:rPr>
        <w:t>Le Gouvernement dit être conscient que le soutien aux aidants est un enjeu social croissant au regard du vieillissement de la population et de son plus fort degré de dépendance et que la France compte entre 8 et 11 millions d’aidants de personnes âgées, en situation de handicap ou malades.</w:t>
      </w:r>
    </w:p>
    <w:p w:rsidRPr="00A86354" w:rsidR="008F0D0E" w:rsidP="00A86354" w:rsidRDefault="008F0D0E" w14:paraId="328C081C" w14:textId="77777777">
      <w:pPr>
        <w:pStyle w:val="ListParagraph"/>
        <w:rPr>
          <w:rFonts w:cs="Arial"/>
          <w:lang w:val="fr-FR"/>
        </w:rPr>
      </w:pPr>
    </w:p>
    <w:p w:rsidRPr="00A86354" w:rsidR="001C4AE2" w:rsidP="00CE016A" w:rsidRDefault="001C4AE2" w14:paraId="6AEFC125" w14:textId="52A8D8A5">
      <w:pPr>
        <w:numPr>
          <w:ilvl w:val="0"/>
          <w:numId w:val="1"/>
        </w:numPr>
        <w:ind w:left="0" w:firstLine="0"/>
        <w:rPr>
          <w:rFonts w:ascii="Arial" w:hAnsi="Arial" w:cs="Arial"/>
          <w:lang w:val="fr-FR"/>
        </w:rPr>
      </w:pPr>
      <w:r w:rsidRPr="00A86354">
        <w:rPr>
          <w:rFonts w:ascii="Arial" w:hAnsi="Arial" w:cs="Arial"/>
          <w:lang w:val="fr-FR"/>
        </w:rPr>
        <w:t xml:space="preserve">Le Gouvernement indique avoir lancé plusieurs initiatives destinées aux aidants, y compris pour les personnes en situation de handicap. Selon le Gouvernement, le plan et les stratégies nationales, tels que les plans nationaux de santé publique relatifs à la prévention de la perte d'autonomie ou la stratégie adoptée </w:t>
      </w:r>
      <w:r w:rsidRPr="00A86354">
        <w:rPr>
          <w:rFonts w:ascii="Arial" w:hAnsi="Arial" w:cs="Arial"/>
          <w:lang w:val="fr-FR"/>
        </w:rPr>
        <w:lastRenderedPageBreak/>
        <w:t xml:space="preserve">lors du Comité interministériel du handicap de décembre 2016, abordent la question des aidants et prévoient des mesures à leur intention. Par ailleurs, plusieurs initiatives parlementaires ont été prises pour soutenir les aidants : La loi n° 2015-1776 relative à l'adaptation de la société au vieillissement, comprend des dispositions pour les aidants telles que la définition du proche aidant, un module de « répit » et de relais en cas d'hospitalisation, des congés pour les proches aidants, etc. Un décret du 9 octobre 2018 précise les modalités d'application aux fonctionnaires du dispositif de don de jours de repos non utilisés au bénéfice des proches aidants de personnes en perte d'autonomie ou en situation de handicap. Par ailleurs, l'article 53 de la loi n° 2018-727 prévoit l'expérimentation de dérogations au droit du travail dans le cadre de la mise en œuvre de services de substitution pour les aidants à domicile. </w:t>
      </w:r>
    </w:p>
    <w:p w:rsidRPr="00A86354" w:rsidR="00FF47AF" w:rsidP="00FF47AF" w:rsidRDefault="00FF47AF" w14:paraId="0F80C305" w14:textId="77777777">
      <w:pPr>
        <w:pStyle w:val="ListParagraph"/>
        <w:rPr>
          <w:rFonts w:cs="Arial"/>
          <w:lang w:val="fr-FR"/>
        </w:rPr>
      </w:pPr>
      <w:bookmarkStart w:name="_Hlk121908809" w:id="37"/>
    </w:p>
    <w:p w:rsidRPr="00A86354" w:rsidR="00FF47AF" w:rsidP="00FF47AF" w:rsidRDefault="00FF47AF" w14:paraId="59C645DF" w14:textId="77777777">
      <w:pPr>
        <w:pStyle w:val="ListParagraph"/>
        <w:tabs>
          <w:tab w:val="left" w:pos="709"/>
          <w:tab w:val="left" w:pos="915"/>
        </w:tabs>
        <w:rPr>
          <w:rFonts w:cs="Arial"/>
          <w:lang w:val="fr-FR"/>
        </w:rPr>
      </w:pPr>
      <w:r w:rsidRPr="00A86354">
        <w:rPr>
          <w:rFonts w:eastAsia="Calibri" w:cs="Arial"/>
          <w:b/>
          <w:bCs/>
          <w:lang w:val="fr-FR"/>
        </w:rPr>
        <w:t>B – Appréciation du Comité</w:t>
      </w:r>
    </w:p>
    <w:bookmarkEnd w:id="37"/>
    <w:p w:rsidRPr="00A86354" w:rsidR="00FF47AF" w:rsidP="00FF47AF" w:rsidRDefault="00FF47AF" w14:paraId="2673588D" w14:textId="77777777">
      <w:pPr>
        <w:pStyle w:val="ListParagraph"/>
        <w:rPr>
          <w:rFonts w:cs="Arial"/>
          <w:lang w:val="fr-FR"/>
        </w:rPr>
      </w:pPr>
    </w:p>
    <w:p w:rsidRPr="00A86354" w:rsidR="00FF47AF" w:rsidP="00CE016A" w:rsidRDefault="00FF47AF" w14:paraId="3218D936" w14:textId="75FFBBCE">
      <w:pPr>
        <w:numPr>
          <w:ilvl w:val="0"/>
          <w:numId w:val="1"/>
        </w:numPr>
        <w:ind w:left="0" w:firstLine="0"/>
        <w:rPr>
          <w:rFonts w:ascii="Arial" w:hAnsi="Arial" w:cs="Arial"/>
          <w:lang w:val="fr-FR"/>
        </w:rPr>
      </w:pPr>
      <w:r w:rsidRPr="00A86354">
        <w:rPr>
          <w:rFonts w:ascii="Arial" w:hAnsi="Arial" w:cs="Arial"/>
          <w:lang w:val="fr-FR"/>
        </w:rPr>
        <w:t xml:space="preserve">Le Comité rappelle que, dans sa décision FIDH c. </w:t>
      </w:r>
      <w:r w:rsidRPr="00A86354" w:rsidR="004E3D9E">
        <w:rPr>
          <w:rFonts w:ascii="Arial" w:hAnsi="Arial" w:cs="Arial"/>
          <w:lang w:val="fr-FR"/>
        </w:rPr>
        <w:t xml:space="preserve">Belgique, réclamation n° 75/2011, </w:t>
      </w:r>
      <w:r w:rsidRPr="00A86354">
        <w:rPr>
          <w:rFonts w:ascii="Arial" w:hAnsi="Arial" w:cs="Arial"/>
          <w:i/>
          <w:iCs/>
          <w:lang w:val="fr-FR"/>
        </w:rPr>
        <w:t>op. cit.,</w:t>
      </w:r>
      <w:r w:rsidRPr="00A86354">
        <w:rPr>
          <w:rFonts w:ascii="Arial" w:hAnsi="Arial" w:cs="Arial"/>
          <w:lang w:val="fr-FR"/>
        </w:rPr>
        <w:t xml:space="preserve"> </w:t>
      </w:r>
      <w:r w:rsidRPr="00A86354" w:rsidR="004E3D9E">
        <w:rPr>
          <w:rFonts w:ascii="Arial" w:hAnsi="Arial" w:cs="Arial"/>
          <w:lang w:val="fr-FR"/>
        </w:rPr>
        <w:t xml:space="preserve">par. </w:t>
      </w:r>
      <w:r w:rsidRPr="00A86354">
        <w:rPr>
          <w:rFonts w:ascii="Arial" w:hAnsi="Arial" w:cs="Arial"/>
          <w:lang w:val="fr-FR"/>
        </w:rPr>
        <w:t> 183, il a estimé, au titre de l’article 16 de la Charte, que la prise en charge adéquate des personnes handicapées très dépendantes par la collectivité n’était nullement incompatible avec une implication des familles dans leur vie, ou avec le devoir des familles de maintenir avec elles une relation de qualité.</w:t>
      </w:r>
      <w:r w:rsidRPr="00A86354">
        <w:rPr>
          <w:rFonts w:ascii="Arial" w:hAnsi="Arial" w:cs="Arial"/>
          <w:color w:val="000000"/>
          <w:shd w:val="clear" w:color="auto" w:fill="FFFFFF"/>
          <w:lang w:val="fr-FR"/>
        </w:rPr>
        <w:t xml:space="preserve"> Il a toutefois considéré que cette </w:t>
      </w:r>
      <w:r w:rsidRPr="00A86354">
        <w:rPr>
          <w:rFonts w:ascii="Arial" w:hAnsi="Arial" w:cs="Arial"/>
          <w:lang w:val="fr-FR"/>
        </w:rPr>
        <w:t>relation</w:t>
      </w:r>
      <w:r w:rsidRPr="00A86354">
        <w:rPr>
          <w:rFonts w:ascii="Arial" w:hAnsi="Arial" w:cs="Arial"/>
          <w:color w:val="000000"/>
          <w:shd w:val="clear" w:color="auto" w:fill="FFFFFF"/>
          <w:lang w:val="fr-FR"/>
        </w:rPr>
        <w:t xml:space="preserve"> de qualité était compromise lorsque les familles assumaient des tâches de soins et d’assistance à leurs membres lourdement handicapés, lesquelles auraient pu être correctement assumées, en étroite coopération avec elles, par des services sociaux adaptés aux besoins de ces personnes. Le Comité est d’avis que ces considérations valent non seulement pour les personnes lourdement handicapées, mais aussi pour toutes les personnes handicapées ayant besoin de soins et d’une assistance.</w:t>
      </w:r>
    </w:p>
    <w:p w:rsidRPr="00A86354" w:rsidR="00FF47AF" w:rsidP="00FF47AF" w:rsidRDefault="00FF47AF" w14:paraId="7E51CB19" w14:textId="77777777">
      <w:pPr>
        <w:pStyle w:val="ListParagraph"/>
        <w:rPr>
          <w:rFonts w:cs="Arial"/>
          <w:color w:val="000000"/>
          <w:shd w:val="clear" w:color="auto" w:fill="FFFFFF"/>
          <w:lang w:val="fr-FR"/>
        </w:rPr>
      </w:pPr>
    </w:p>
    <w:p w:rsidRPr="00A86354" w:rsidR="00FF47AF" w:rsidP="00CE016A" w:rsidRDefault="00FF47AF" w14:paraId="22E98029" w14:textId="6ED4C8DE">
      <w:pPr>
        <w:numPr>
          <w:ilvl w:val="0"/>
          <w:numId w:val="1"/>
        </w:numPr>
        <w:ind w:left="0" w:firstLine="0"/>
        <w:rPr>
          <w:rFonts w:ascii="Arial" w:hAnsi="Arial" w:cs="Arial"/>
          <w:lang w:val="fr-FR"/>
        </w:rPr>
      </w:pPr>
      <w:r w:rsidRPr="00A86354">
        <w:rPr>
          <w:rFonts w:ascii="Arial" w:hAnsi="Arial" w:cs="Arial"/>
          <w:color w:val="000000"/>
          <w:shd w:val="clear" w:color="auto" w:fill="FFFFFF"/>
          <w:lang w:val="fr-FR"/>
        </w:rPr>
        <w:t xml:space="preserve">Le Comité prend note des témoignages et exemples recueillis par l’Unafam. Ces </w:t>
      </w:r>
      <w:r w:rsidRPr="00A86354">
        <w:rPr>
          <w:rFonts w:ascii="Arial" w:hAnsi="Arial" w:cs="Arial"/>
          <w:lang w:val="fr-FR"/>
        </w:rPr>
        <w:t>témoignages</w:t>
      </w:r>
      <w:r w:rsidRPr="00A86354">
        <w:rPr>
          <w:rFonts w:ascii="Arial" w:hAnsi="Arial" w:cs="Arial"/>
          <w:color w:val="000000"/>
          <w:shd w:val="clear" w:color="auto" w:fill="FFFFFF"/>
          <w:lang w:val="fr-FR"/>
        </w:rPr>
        <w:t xml:space="preserve"> concernent des familles de personnes atteintes d’un handicap intellectuel en particulier et dénoncent les longues listes d’attente ou les non-admissions faute de places disponibles dans les structures d’hébergement ou faute d’interaction des services sociaux (Centre médico-psychologique ou CMP) avec les personnes handicapées concernées (bien que conscient de la situation de la personne, le service attend d’être contacté par elle pour fournir ses services), etc. Le Comité constate que les carences des services se traduisent par un repli des personnes handicapées dans leurs familles, qui entraîne pour nombre d’entre elles des bouleversements profonds et négatifs dans leur mode de vie.</w:t>
      </w:r>
    </w:p>
    <w:p w:rsidRPr="00A86354" w:rsidR="00FF47AF" w:rsidP="00FF47AF" w:rsidRDefault="00FF47AF" w14:paraId="72E664F5" w14:textId="77777777">
      <w:pPr>
        <w:pStyle w:val="ListParagraph"/>
        <w:rPr>
          <w:rFonts w:cs="Arial"/>
          <w:lang w:val="fr-FR"/>
        </w:rPr>
      </w:pPr>
    </w:p>
    <w:p w:rsidRPr="00A86354" w:rsidR="00FF47AF" w:rsidP="00CE016A" w:rsidRDefault="00FF47AF" w14:paraId="0BBBF076" w14:textId="1CBE6892">
      <w:pPr>
        <w:numPr>
          <w:ilvl w:val="0"/>
          <w:numId w:val="1"/>
        </w:numPr>
        <w:ind w:left="0" w:firstLine="0"/>
        <w:rPr>
          <w:rFonts w:ascii="Arial" w:hAnsi="Arial" w:cs="Arial"/>
          <w:lang w:val="fr-FR"/>
        </w:rPr>
      </w:pPr>
      <w:r w:rsidRPr="00A86354">
        <w:rPr>
          <w:rFonts w:ascii="Arial" w:hAnsi="Arial" w:cs="Arial"/>
          <w:lang w:val="fr-FR"/>
        </w:rPr>
        <w:t>Comme l’a considéré le Comité dans la décision</w:t>
      </w:r>
      <w:r w:rsidRPr="00A86354" w:rsidR="004E3D9E">
        <w:rPr>
          <w:rFonts w:ascii="Arial" w:hAnsi="Arial" w:cs="Arial"/>
          <w:lang w:val="fr-FR"/>
        </w:rPr>
        <w:t xml:space="preserve"> susmentionnée</w:t>
      </w:r>
      <w:r w:rsidRPr="00A86354">
        <w:rPr>
          <w:rFonts w:ascii="Arial" w:hAnsi="Arial" w:cs="Arial"/>
          <w:lang w:val="fr-FR"/>
        </w:rPr>
        <w:t xml:space="preserve"> FIDH c. </w:t>
      </w:r>
      <w:r w:rsidRPr="00A86354" w:rsidR="004E3D9E">
        <w:rPr>
          <w:rFonts w:ascii="Arial" w:hAnsi="Arial" w:cs="Arial"/>
          <w:lang w:val="fr-FR"/>
        </w:rPr>
        <w:t xml:space="preserve">Belgique, réclamation n° 75/2011, </w:t>
      </w:r>
      <w:r w:rsidRPr="00A86354">
        <w:rPr>
          <w:rFonts w:ascii="Arial" w:hAnsi="Arial" w:cs="Arial"/>
          <w:i/>
          <w:iCs/>
          <w:lang w:val="fr-FR"/>
        </w:rPr>
        <w:t>op. cit.,</w:t>
      </w:r>
      <w:r w:rsidRPr="00A86354">
        <w:rPr>
          <w:rFonts w:ascii="Arial" w:hAnsi="Arial" w:cs="Arial"/>
          <w:lang w:val="fr-FR"/>
        </w:rPr>
        <w:t xml:space="preserve"> </w:t>
      </w:r>
      <w:r w:rsidRPr="00A86354" w:rsidR="004E3D9E">
        <w:rPr>
          <w:rFonts w:ascii="Arial" w:hAnsi="Arial" w:cs="Arial"/>
          <w:lang w:val="fr-FR"/>
        </w:rPr>
        <w:t>par.</w:t>
      </w:r>
      <w:r w:rsidRPr="00A86354">
        <w:rPr>
          <w:rFonts w:ascii="Arial" w:hAnsi="Arial" w:cs="Arial"/>
          <w:lang w:val="fr-FR"/>
        </w:rPr>
        <w:t> 184</w:t>
      </w:r>
      <w:r w:rsidRPr="00A86354" w:rsidR="004E3D9E">
        <w:rPr>
          <w:rFonts w:ascii="Arial" w:hAnsi="Arial" w:cs="Arial"/>
          <w:lang w:val="fr-FR"/>
        </w:rPr>
        <w:t>,</w:t>
      </w:r>
      <w:r w:rsidRPr="00A86354">
        <w:rPr>
          <w:rFonts w:ascii="Arial" w:hAnsi="Arial" w:cs="Arial"/>
          <w:lang w:val="fr-FR"/>
        </w:rPr>
        <w:t xml:space="preserve"> arrêter de travailler ou diminuer son temps de travail pour s’occuper d’une personne très dépendante est, pour de nombreux membres de la famille, la conséquence de leur dévouement au membre porteur d’un handicap.</w:t>
      </w:r>
    </w:p>
    <w:p w:rsidRPr="00A86354" w:rsidR="008F0D0E" w:rsidP="008F0D0E" w:rsidRDefault="008F0D0E" w14:paraId="56BB235B" w14:textId="77777777">
      <w:pPr>
        <w:ind w:left="360" w:hanging="360"/>
        <w:rPr>
          <w:rFonts w:ascii="Arial" w:hAnsi="Arial" w:cs="Arial"/>
          <w:lang w:val="fr-FR"/>
        </w:rPr>
      </w:pPr>
    </w:p>
    <w:p w:rsidRPr="00A86354" w:rsidR="00FF47AF" w:rsidP="00CE016A" w:rsidRDefault="00FF47AF" w14:paraId="7E1E8F42" w14:textId="77777777">
      <w:pPr>
        <w:numPr>
          <w:ilvl w:val="0"/>
          <w:numId w:val="1"/>
        </w:numPr>
        <w:ind w:left="0" w:firstLine="0"/>
        <w:rPr>
          <w:rFonts w:ascii="Arial" w:hAnsi="Arial" w:cs="Arial"/>
          <w:lang w:val="fr-FR"/>
        </w:rPr>
      </w:pPr>
      <w:r w:rsidRPr="00A86354">
        <w:rPr>
          <w:rFonts w:ascii="Arial" w:hAnsi="Arial" w:cs="Arial"/>
          <w:color w:val="000000"/>
          <w:shd w:val="clear" w:color="auto" w:fill="FFFFFF"/>
          <w:lang w:val="fr-FR"/>
        </w:rPr>
        <w:t xml:space="preserve">Le Comité relève </w:t>
      </w:r>
      <w:r w:rsidRPr="00A86354">
        <w:rPr>
          <w:rFonts w:ascii="Arial" w:hAnsi="Arial" w:cs="Arial"/>
          <w:lang w:val="fr-FR"/>
        </w:rPr>
        <w:t>également dans les observations de la Défenseure des droits que l’accueil de milliers d’adultes dans des établissements belges très éloignés de leur domicile familial, faute de réponses de proximité adaptées du fait des carences de l’offre médico-sociale en France, prive ces personnes de véritables liens familiaux.</w:t>
      </w:r>
    </w:p>
    <w:p w:rsidRPr="00A86354" w:rsidR="00FF47AF" w:rsidP="004971B7" w:rsidRDefault="00FF47AF" w14:paraId="756AD707" w14:textId="77777777">
      <w:pPr>
        <w:pStyle w:val="ListParagraph"/>
        <w:rPr>
          <w:rStyle w:val="sb8d990e2"/>
          <w:rFonts w:cs="Arial"/>
          <w:color w:val="000000"/>
          <w:lang w:val="fr-FR"/>
        </w:rPr>
      </w:pPr>
    </w:p>
    <w:p w:rsidRPr="00A86354" w:rsidR="004971B7" w:rsidP="00CE016A" w:rsidRDefault="00FF47AF" w14:paraId="742F24FC" w14:textId="2A02C8C1">
      <w:pPr>
        <w:numPr>
          <w:ilvl w:val="0"/>
          <w:numId w:val="1"/>
        </w:numPr>
        <w:ind w:left="0" w:firstLine="0"/>
        <w:rPr>
          <w:rStyle w:val="sb8d990e2"/>
          <w:rFonts w:ascii="Arial" w:hAnsi="Arial" w:cs="Arial"/>
          <w:lang w:val="fr-FR"/>
        </w:rPr>
      </w:pPr>
      <w:r w:rsidRPr="00A86354">
        <w:rPr>
          <w:rFonts w:ascii="Arial" w:hAnsi="Arial" w:cs="Arial"/>
          <w:color w:val="000000"/>
          <w:shd w:val="clear" w:color="auto" w:fill="FFFFFF"/>
          <w:lang w:val="fr-FR"/>
        </w:rPr>
        <w:t xml:space="preserve">Le Comité </w:t>
      </w:r>
      <w:r w:rsidRPr="00A86354">
        <w:rPr>
          <w:rStyle w:val="sb8d990e2"/>
          <w:rFonts w:ascii="Arial" w:hAnsi="Arial" w:cs="Arial"/>
          <w:color w:val="000000"/>
          <w:lang w:val="fr-FR"/>
        </w:rPr>
        <w:t>rappelle que les États parties doivent être particulièrement attentifs à l’impact des choix opérés par eux sur les groupes tels que les personnes handicapées, dont la vulnérabilité est la plus grande, ainsi que sur les autres personnes concernées, tout particulièrement les familles sur lesquelles, en cas de carence institutionnelle, pèse un écrasant fardeau (Autisme-Europe c. </w:t>
      </w:r>
      <w:r w:rsidRPr="00A86354" w:rsidR="00E96536">
        <w:rPr>
          <w:rFonts w:ascii="Arial" w:hAnsi="Arial" w:cs="Arial"/>
          <w:color w:val="000000"/>
          <w:lang w:val="fr-FR"/>
        </w:rPr>
        <w:t>France, réclamation n° 13/2002</w:t>
      </w:r>
      <w:r w:rsidRPr="00A86354">
        <w:rPr>
          <w:rStyle w:val="sb8d990e2"/>
          <w:rFonts w:ascii="Arial" w:hAnsi="Arial" w:cs="Arial"/>
          <w:color w:val="000000"/>
          <w:lang w:val="fr-FR"/>
        </w:rPr>
        <w:t>, </w:t>
      </w:r>
      <w:r w:rsidRPr="00A86354">
        <w:rPr>
          <w:rStyle w:val="s6b621b36"/>
          <w:rFonts w:ascii="Arial" w:hAnsi="Arial" w:cs="Arial"/>
          <w:i/>
          <w:iCs/>
          <w:color w:val="000000"/>
          <w:lang w:val="fr-FR"/>
        </w:rPr>
        <w:t>op. cit.,</w:t>
      </w:r>
      <w:r w:rsidRPr="00A86354">
        <w:rPr>
          <w:rStyle w:val="sb8d990e2"/>
          <w:rFonts w:ascii="Arial" w:hAnsi="Arial" w:cs="Arial"/>
          <w:color w:val="000000"/>
          <w:lang w:val="fr-FR"/>
        </w:rPr>
        <w:t> </w:t>
      </w:r>
      <w:r w:rsidR="008532B8">
        <w:rPr>
          <w:rStyle w:val="sb8d990e2"/>
          <w:rFonts w:ascii="Arial" w:hAnsi="Arial" w:cs="Arial"/>
          <w:color w:val="000000"/>
          <w:lang w:val="fr-FR"/>
        </w:rPr>
        <w:t>par.</w:t>
      </w:r>
      <w:r w:rsidRPr="00A86354">
        <w:rPr>
          <w:rStyle w:val="sb8d990e2"/>
          <w:rFonts w:ascii="Arial" w:hAnsi="Arial" w:cs="Arial"/>
          <w:color w:val="000000"/>
          <w:lang w:val="fr-FR"/>
        </w:rPr>
        <w:t> 53).</w:t>
      </w:r>
    </w:p>
    <w:p w:rsidRPr="00A86354" w:rsidR="004971B7" w:rsidP="004971B7" w:rsidRDefault="004971B7" w14:paraId="64411F3E" w14:textId="77777777">
      <w:pPr>
        <w:pStyle w:val="ListParagraph"/>
        <w:rPr>
          <w:rStyle w:val="sb8d990e2"/>
          <w:rFonts w:cs="Arial"/>
          <w:lang w:val="fr-FR"/>
        </w:rPr>
      </w:pPr>
    </w:p>
    <w:p w:rsidRPr="00A86354" w:rsidR="004971B7" w:rsidP="00CE016A" w:rsidRDefault="004971B7" w14:paraId="7B2E36BA" w14:textId="45F1291E">
      <w:pPr>
        <w:numPr>
          <w:ilvl w:val="0"/>
          <w:numId w:val="1"/>
        </w:numPr>
        <w:ind w:left="0" w:firstLine="0"/>
        <w:rPr>
          <w:rFonts w:ascii="Arial" w:hAnsi="Arial" w:cs="Arial"/>
          <w:lang w:val="fr-FR"/>
        </w:rPr>
      </w:pPr>
      <w:r w:rsidRPr="00A86354">
        <w:rPr>
          <w:rFonts w:ascii="Arial" w:hAnsi="Arial" w:cs="Arial"/>
          <w:lang w:val="fr-FR"/>
        </w:rPr>
        <w:t xml:space="preserve">Le Comité a considéré, dans son </w:t>
      </w:r>
      <w:r w:rsidRPr="00A86354" w:rsidR="004E3D9E">
        <w:rPr>
          <w:rFonts w:ascii="Arial" w:hAnsi="Arial" w:cs="Arial"/>
          <w:lang w:val="fr-FR"/>
        </w:rPr>
        <w:t xml:space="preserve">appréciation </w:t>
      </w:r>
      <w:r w:rsidRPr="00A86354">
        <w:rPr>
          <w:rFonts w:ascii="Arial" w:hAnsi="Arial" w:cs="Arial"/>
          <w:lang w:val="fr-FR"/>
        </w:rPr>
        <w:t xml:space="preserve">au titre de l'article 15§3 de la Charte, que le droit des personnes handicapées à l'intégration sociale et à la participation à la vie de la communauté a été violé en </w:t>
      </w:r>
      <w:r w:rsidRPr="00A86354">
        <w:rPr>
          <w:rFonts w:ascii="Arial" w:hAnsi="Arial" w:cs="Arial"/>
          <w:color w:val="000000"/>
          <w:lang w:val="fr-FR"/>
        </w:rPr>
        <w:t xml:space="preserve">raison du fait que les autorités n'ont pas adopté de mesures efficaces dans un délai raisonnable pour remédier aux problèmes de longue date liés à l'accès inadéquat aux services de soutien, y compris le soutien financier, et à l'accès aux bâtiments et installations destinés au grand public, au logement et aux transports publics. Pour le Comité, l'absence ou l'inadéquation des mesures prises jusqu'à présent oblige les personnes très dépendantes, y compris les personnes handicapées, à vivre avec leur famille, ce qui </w:t>
      </w:r>
      <w:proofErr w:type="gramStart"/>
      <w:r w:rsidRPr="00A86354">
        <w:rPr>
          <w:rFonts w:ascii="Arial" w:hAnsi="Arial" w:cs="Arial"/>
          <w:color w:val="000000"/>
          <w:lang w:val="fr-FR"/>
        </w:rPr>
        <w:t>a</w:t>
      </w:r>
      <w:proofErr w:type="gramEnd"/>
      <w:r w:rsidRPr="00A86354">
        <w:rPr>
          <w:rFonts w:ascii="Arial" w:hAnsi="Arial" w:cs="Arial"/>
          <w:color w:val="000000"/>
          <w:lang w:val="fr-FR"/>
        </w:rPr>
        <w:t xml:space="preserve"> potentiellement des répercussions négatives considérables sur les conditions de vie de cette dernière. Pour de nombreux membres de la famille, leur dévouement à l'égard d'un membre de la famille handicapé et leurs efforts pour lui apporter le soin dont il a besoin affectent leurs activités professionnelles. Il est notamment prouvé que les aidants doivent renoncer à leur emploi ou réduire leur temps de travail afin de pouvoir apporter le soutien nécessaire. À cet </w:t>
      </w:r>
      <w:r w:rsidRPr="00A86354">
        <w:rPr>
          <w:rFonts w:ascii="Arial" w:hAnsi="Arial" w:cs="Arial"/>
          <w:lang w:val="fr-FR"/>
        </w:rPr>
        <w:t xml:space="preserve">égard, le Comité prend note de l’observation du Défenseur des droits selon laquelle, d'après une enquête de 2018, 88% des parents d'enfants handicapés en France sont impactés dans leur emploi faute de mesures/réponses adaptées aux besoins de leur enfant. Parmi ces parents, 81% des mères (contre 16% des pères) cessent toute activité professionnelle, réduisent leur temps de travail ou changent de métier.   </w:t>
      </w:r>
      <w:r w:rsidRPr="00A86354">
        <w:rPr>
          <w:rFonts w:ascii="Arial" w:hAnsi="Arial" w:cs="Arial"/>
          <w:color w:val="000000"/>
          <w:lang w:val="fr-FR"/>
        </w:rPr>
        <w:t xml:space="preserve"> </w:t>
      </w:r>
    </w:p>
    <w:p w:rsidRPr="00A86354" w:rsidR="004971B7" w:rsidP="004971B7" w:rsidRDefault="004971B7" w14:paraId="2AF03355" w14:textId="77777777">
      <w:pPr>
        <w:pStyle w:val="ListParagraph"/>
        <w:rPr>
          <w:rFonts w:cs="Arial"/>
          <w:lang w:val="fr-FR"/>
        </w:rPr>
      </w:pPr>
    </w:p>
    <w:p w:rsidRPr="00A86354" w:rsidR="004971B7" w:rsidP="00CE016A" w:rsidRDefault="004971B7" w14:paraId="05867C8D" w14:textId="4FC33592">
      <w:pPr>
        <w:numPr>
          <w:ilvl w:val="0"/>
          <w:numId w:val="1"/>
        </w:numPr>
        <w:ind w:left="0" w:firstLine="0"/>
        <w:rPr>
          <w:rFonts w:ascii="Arial" w:hAnsi="Arial" w:cs="Arial"/>
          <w:lang w:val="fr-FR"/>
        </w:rPr>
      </w:pPr>
      <w:r w:rsidRPr="00A86354">
        <w:rPr>
          <w:rFonts w:ascii="Arial" w:hAnsi="Arial" w:cs="Arial"/>
          <w:color w:val="000000"/>
          <w:lang w:val="fr-FR"/>
        </w:rPr>
        <w:t xml:space="preserve">Par conséquent, le Comité </w:t>
      </w:r>
      <w:r w:rsidRPr="00A86354" w:rsidR="00E41BAF">
        <w:rPr>
          <w:rFonts w:ascii="Arial" w:hAnsi="Arial" w:cs="Arial"/>
          <w:color w:val="000000"/>
          <w:lang w:val="fr-FR"/>
        </w:rPr>
        <w:t xml:space="preserve">dit </w:t>
      </w:r>
      <w:r w:rsidRPr="00A86354">
        <w:rPr>
          <w:rFonts w:ascii="Arial" w:hAnsi="Arial" w:cs="Arial"/>
          <w:color w:val="000000"/>
          <w:lang w:val="fr-FR"/>
        </w:rPr>
        <w:t xml:space="preserve">que la pénurie de services de soutien et le manque </w:t>
      </w:r>
      <w:r w:rsidRPr="00A86354">
        <w:rPr>
          <w:rFonts w:ascii="Arial" w:hAnsi="Arial" w:cs="Arial"/>
          <w:lang w:val="fr-FR"/>
        </w:rPr>
        <w:t>d'accessibilité</w:t>
      </w:r>
      <w:r w:rsidRPr="00A86354">
        <w:rPr>
          <w:rFonts w:ascii="Arial" w:hAnsi="Arial" w:cs="Arial"/>
          <w:color w:val="000000"/>
          <w:lang w:val="fr-FR"/>
        </w:rPr>
        <w:t xml:space="preserve"> des bâtiments et des installations ainsi que des transports publics font que de nombreuses familles vivent dans des conditions précaires, et équivaut à un manque de protection de la famille, en violation de l'article 16 de la Charte.</w:t>
      </w:r>
    </w:p>
    <w:p w:rsidRPr="00A86354" w:rsidR="00FF47AF" w:rsidP="00E41BAF" w:rsidRDefault="00FF47AF" w14:paraId="5D1D07A5" w14:textId="057323F8">
      <w:pPr>
        <w:pStyle w:val="ListParagraph"/>
        <w:rPr>
          <w:rStyle w:val="sb8d990e2"/>
          <w:rFonts w:cs="Arial" w:eastAsiaTheme="majorEastAsia"/>
          <w:color w:val="000000"/>
          <w:shd w:val="clear" w:color="auto" w:fill="FFFFFF"/>
          <w:lang w:val="fr-FR"/>
        </w:rPr>
      </w:pPr>
    </w:p>
    <w:p w:rsidRPr="00A86354" w:rsidR="00E41BAF" w:rsidP="00A86354" w:rsidRDefault="00E41BAF" w14:paraId="2D378C67" w14:textId="77777777">
      <w:pPr>
        <w:pStyle w:val="ListParagraph"/>
        <w:rPr>
          <w:rStyle w:val="sb8d990e2"/>
          <w:rFonts w:cs="Arial" w:eastAsiaTheme="majorEastAsia"/>
          <w:color w:val="000000"/>
          <w:shd w:val="clear" w:color="auto" w:fill="FFFFFF"/>
          <w:lang w:val="fr-FR"/>
        </w:rPr>
      </w:pPr>
    </w:p>
    <w:p w:rsidRPr="00A86354" w:rsidR="00FF47AF" w:rsidP="00CE016A" w:rsidRDefault="00FF47AF" w14:paraId="3DBB1CE8" w14:textId="77777777">
      <w:pPr>
        <w:pStyle w:val="ListParagraph"/>
        <w:numPr>
          <w:ilvl w:val="0"/>
          <w:numId w:val="3"/>
        </w:numPr>
        <w:spacing w:line="259" w:lineRule="auto"/>
        <w:ind w:left="0" w:firstLine="0"/>
        <w:rPr>
          <w:rFonts w:cs="Arial" w:eastAsiaTheme="minorHAnsi"/>
          <w:b/>
          <w:bCs/>
          <w:lang w:val="fr-FR" w:eastAsia="en-US"/>
        </w:rPr>
      </w:pPr>
      <w:r w:rsidRPr="00A86354">
        <w:rPr>
          <w:rFonts w:cs="Arial" w:eastAsiaTheme="minorHAnsi"/>
          <w:b/>
          <w:bCs/>
          <w:lang w:val="fr-FR" w:eastAsia="en-US"/>
        </w:rPr>
        <w:t>DEMANDE DE REMBOURSEMENT DES FRAIS ET DÉPENS</w:t>
      </w:r>
    </w:p>
    <w:p w:rsidRPr="00844324" w:rsidR="00F52A59" w:rsidP="00F52A59" w:rsidRDefault="00F52A59" w14:paraId="31962BBF" w14:textId="77777777">
      <w:pPr>
        <w:rPr>
          <w:rFonts w:ascii="Arial" w:hAnsi="Arial" w:cs="Arial"/>
          <w:lang w:val="fr-FR"/>
        </w:rPr>
      </w:pPr>
    </w:p>
    <w:p w:rsidRPr="00A86354" w:rsidR="00F52A59" w:rsidP="00F52A59" w:rsidRDefault="00F52A59" w14:paraId="69190B43" w14:textId="77777777">
      <w:pPr>
        <w:keepNext/>
        <w:keepLines/>
        <w:tabs>
          <w:tab w:val="left" w:pos="567"/>
          <w:tab w:val="left" w:pos="709"/>
        </w:tabs>
        <w:outlineLvl w:val="2"/>
        <w:rPr>
          <w:rFonts w:ascii="Arial" w:hAnsi="Arial" w:cs="Arial" w:eastAsiaTheme="majorEastAsia"/>
          <w:b/>
          <w:bCs/>
          <w:kern w:val="1"/>
          <w:szCs w:val="26"/>
          <w:lang w:val="fr-FR" w:eastAsia="ar-SA"/>
        </w:rPr>
      </w:pPr>
      <w:r w:rsidRPr="00A86354">
        <w:rPr>
          <w:rFonts w:ascii="Arial" w:hAnsi="Arial" w:eastAsia="Calibri" w:cs="Arial"/>
          <w:b/>
          <w:bCs/>
          <w:lang w:val="fr-FR"/>
        </w:rPr>
        <w:t xml:space="preserve">A – </w:t>
      </w:r>
      <w:r w:rsidRPr="00A86354">
        <w:rPr>
          <w:rFonts w:ascii="Arial" w:hAnsi="Arial" w:cs="Arial" w:eastAsiaTheme="majorEastAsia"/>
          <w:b/>
          <w:bCs/>
          <w:kern w:val="1"/>
          <w:szCs w:val="26"/>
          <w:lang w:val="fr-FR" w:eastAsia="ar-SA"/>
        </w:rPr>
        <w:t>Arguments des parties</w:t>
      </w:r>
    </w:p>
    <w:p w:rsidRPr="00A86354" w:rsidR="00FF47AF" w:rsidP="00A86354" w:rsidRDefault="00FF47AF" w14:paraId="0DD108A4" w14:textId="77777777">
      <w:pPr>
        <w:spacing w:line="259" w:lineRule="auto"/>
        <w:ind w:left="720"/>
        <w:contextualSpacing/>
        <w:rPr>
          <w:rFonts w:ascii="Arial" w:hAnsi="Arial" w:cs="Arial" w:eastAsiaTheme="minorHAnsi"/>
          <w:b/>
          <w:bCs/>
          <w:lang w:val="fr-FR" w:eastAsia="en-US"/>
        </w:rPr>
      </w:pPr>
    </w:p>
    <w:p w:rsidRPr="00A86354" w:rsidR="00FF47AF" w:rsidP="00CE016A" w:rsidRDefault="00FF47AF" w14:paraId="27454070" w14:textId="67BC792F">
      <w:pPr>
        <w:numPr>
          <w:ilvl w:val="0"/>
          <w:numId w:val="12"/>
        </w:numPr>
        <w:spacing w:line="259" w:lineRule="auto"/>
        <w:ind w:left="709" w:hanging="709"/>
        <w:contextualSpacing/>
        <w:rPr>
          <w:rFonts w:ascii="Arial" w:hAnsi="Arial" w:cs="Arial" w:eastAsiaTheme="minorHAnsi"/>
          <w:b/>
          <w:bCs/>
          <w:lang w:val="fr-FR" w:eastAsia="en-US"/>
        </w:rPr>
      </w:pPr>
      <w:r w:rsidRPr="00A86354">
        <w:rPr>
          <w:rFonts w:ascii="Arial" w:hAnsi="Arial" w:cs="Arial" w:eastAsiaTheme="majorEastAsia"/>
          <w:b/>
          <w:iCs/>
          <w:lang w:val="fr-FR"/>
        </w:rPr>
        <w:t xml:space="preserve">Les organisations </w:t>
      </w:r>
      <w:r w:rsidRPr="00A86354" w:rsidR="00E41BAF">
        <w:rPr>
          <w:rFonts w:ascii="Arial" w:hAnsi="Arial" w:cs="Arial" w:eastAsiaTheme="majorEastAsia"/>
          <w:b/>
          <w:iCs/>
          <w:lang w:val="fr-FR"/>
        </w:rPr>
        <w:t>auteurs de la réclamation</w:t>
      </w:r>
      <w:r w:rsidRPr="00A86354" w:rsidR="00E41BAF">
        <w:rPr>
          <w:rFonts w:ascii="Arial" w:hAnsi="Arial" w:cs="Arial" w:eastAsiaTheme="minorHAnsi"/>
          <w:b/>
          <w:bCs/>
          <w:lang w:val="fr-FR" w:eastAsia="en-US"/>
        </w:rPr>
        <w:t xml:space="preserve"> </w:t>
      </w:r>
    </w:p>
    <w:p w:rsidRPr="00A86354" w:rsidR="00E41BAF" w:rsidP="00A86354" w:rsidRDefault="00E41BAF" w14:paraId="1E1AE76D" w14:textId="77777777">
      <w:pPr>
        <w:rPr>
          <w:rFonts w:ascii="Arial" w:hAnsi="Arial" w:cs="Arial" w:eastAsiaTheme="minorHAnsi"/>
          <w:lang w:val="fr-FR" w:eastAsia="en-US"/>
        </w:rPr>
      </w:pPr>
    </w:p>
    <w:p w:rsidRPr="00A86354" w:rsidR="00FF47AF" w:rsidP="00CE016A" w:rsidRDefault="00FF47AF" w14:paraId="26C5DFC2" w14:textId="4481F231">
      <w:pPr>
        <w:numPr>
          <w:ilvl w:val="0"/>
          <w:numId w:val="1"/>
        </w:numPr>
        <w:ind w:left="0" w:firstLine="0"/>
        <w:rPr>
          <w:rFonts w:ascii="Arial" w:hAnsi="Arial" w:cs="Arial" w:eastAsiaTheme="minorHAnsi"/>
          <w:lang w:val="fr-FR" w:eastAsia="en-US"/>
        </w:rPr>
      </w:pPr>
      <w:r w:rsidRPr="00A86354">
        <w:rPr>
          <w:rFonts w:ascii="Arial" w:hAnsi="Arial" w:cs="Arial" w:eastAsiaTheme="minorHAnsi"/>
          <w:lang w:val="fr-FR" w:eastAsia="en-US"/>
        </w:rPr>
        <w:t xml:space="preserve">EDF et Inclusion Europe demandent au Comité d’ordonner à la France de verser la somme de 5 000 </w:t>
      </w:r>
      <w:r w:rsidRPr="00A86354" w:rsidR="003C431F">
        <w:rPr>
          <w:rFonts w:ascii="Arial" w:hAnsi="Arial" w:cs="Arial" w:eastAsiaTheme="minorHAnsi"/>
          <w:lang w:val="fr-FR" w:eastAsia="en-US"/>
        </w:rPr>
        <w:t>EUR</w:t>
      </w:r>
      <w:r w:rsidRPr="00A86354">
        <w:rPr>
          <w:rFonts w:ascii="Arial" w:hAnsi="Arial" w:cs="Arial" w:eastAsiaTheme="minorHAnsi"/>
          <w:lang w:val="fr-FR" w:eastAsia="en-US"/>
        </w:rPr>
        <w:t xml:space="preserve"> à chaque organisation réclamante au titre des frais de procédure engagés pour former la présente réclamation.</w:t>
      </w:r>
    </w:p>
    <w:p w:rsidRPr="00A86354" w:rsidR="00FF47AF" w:rsidP="00A86354" w:rsidRDefault="00FF47AF" w14:paraId="1025CB81" w14:textId="77777777">
      <w:pPr>
        <w:pStyle w:val="ListParagraph"/>
        <w:rPr>
          <w:rFonts w:cs="Arial" w:eastAsiaTheme="minorHAnsi"/>
          <w:lang w:val="fr-FR" w:eastAsia="en-US"/>
        </w:rPr>
      </w:pPr>
    </w:p>
    <w:p w:rsidRPr="00A86354" w:rsidR="00FF47AF" w:rsidP="00CE016A" w:rsidRDefault="00FF47AF" w14:paraId="14FCC5EB" w14:textId="77777777">
      <w:pPr>
        <w:pStyle w:val="ListParagraph"/>
        <w:numPr>
          <w:ilvl w:val="0"/>
          <w:numId w:val="12"/>
        </w:numPr>
        <w:spacing w:line="259" w:lineRule="auto"/>
        <w:ind w:left="709" w:hanging="709"/>
        <w:contextualSpacing/>
        <w:rPr>
          <w:rFonts w:cs="Arial" w:eastAsiaTheme="minorHAnsi"/>
          <w:b/>
          <w:bCs/>
          <w:lang w:val="fr-FR" w:eastAsia="en-US"/>
        </w:rPr>
      </w:pPr>
      <w:r w:rsidRPr="00A86354">
        <w:rPr>
          <w:rFonts w:cs="Arial" w:eastAsiaTheme="majorEastAsia"/>
          <w:b/>
          <w:iCs/>
          <w:lang w:val="fr-FR"/>
        </w:rPr>
        <w:t>Le Gouvernement défendeur</w:t>
      </w:r>
      <w:r w:rsidRPr="00A86354">
        <w:rPr>
          <w:rFonts w:cs="Arial" w:eastAsiaTheme="minorHAnsi"/>
          <w:b/>
          <w:bCs/>
          <w:lang w:val="fr-FR" w:eastAsia="en-US"/>
        </w:rPr>
        <w:t xml:space="preserve"> </w:t>
      </w:r>
    </w:p>
    <w:p w:rsidRPr="00A86354" w:rsidR="00FF47AF" w:rsidP="00A86354" w:rsidRDefault="00FF47AF" w14:paraId="404188BC" w14:textId="77777777">
      <w:pPr>
        <w:pStyle w:val="ListParagraph"/>
        <w:rPr>
          <w:rFonts w:cs="Arial" w:eastAsiaTheme="minorHAnsi"/>
          <w:lang w:val="fr-FR" w:eastAsia="en-US"/>
        </w:rPr>
      </w:pPr>
    </w:p>
    <w:p w:rsidRPr="00A86354" w:rsidR="00FF47AF" w:rsidP="00CE016A" w:rsidRDefault="00FF47AF" w14:paraId="2D276F43" w14:textId="77777777">
      <w:pPr>
        <w:numPr>
          <w:ilvl w:val="0"/>
          <w:numId w:val="1"/>
        </w:numPr>
        <w:ind w:left="0" w:firstLine="0"/>
        <w:rPr>
          <w:rFonts w:ascii="Arial" w:hAnsi="Arial" w:cs="Arial" w:eastAsiaTheme="minorHAnsi"/>
          <w:lang w:val="fr-FR" w:eastAsia="en-US"/>
        </w:rPr>
      </w:pPr>
      <w:r w:rsidRPr="00A86354">
        <w:rPr>
          <w:rFonts w:ascii="Arial" w:hAnsi="Arial" w:cs="Arial" w:eastAsiaTheme="minorHAnsi"/>
          <w:lang w:val="fr-FR" w:eastAsia="en-US"/>
        </w:rPr>
        <w:lastRenderedPageBreak/>
        <w:t>Le Gouvernement demande au Comité de rejeter cette demande au motif que la procédure des réclamations collectives ne prévoit pas le remboursement des frais de procédure par les États parties.</w:t>
      </w:r>
    </w:p>
    <w:p w:rsidRPr="00A86354" w:rsidR="00F52A59" w:rsidP="00F52A59" w:rsidRDefault="00F52A59" w14:paraId="56468089" w14:textId="77777777">
      <w:pPr>
        <w:pStyle w:val="ListParagraph"/>
        <w:rPr>
          <w:rFonts w:cs="Arial"/>
          <w:lang w:val="fr-FR"/>
        </w:rPr>
      </w:pPr>
    </w:p>
    <w:p w:rsidRPr="00A86354" w:rsidR="00F52A59" w:rsidP="00F52A59" w:rsidRDefault="00F52A59" w14:paraId="69BDF11E" w14:textId="77777777">
      <w:pPr>
        <w:pStyle w:val="ListParagraph"/>
        <w:tabs>
          <w:tab w:val="left" w:pos="709"/>
          <w:tab w:val="left" w:pos="915"/>
        </w:tabs>
        <w:rPr>
          <w:rFonts w:cs="Arial"/>
          <w:lang w:val="fr-FR"/>
        </w:rPr>
      </w:pPr>
      <w:r w:rsidRPr="00A86354">
        <w:rPr>
          <w:rFonts w:eastAsia="Calibri" w:cs="Arial"/>
          <w:b/>
          <w:bCs/>
          <w:lang w:val="fr-FR"/>
        </w:rPr>
        <w:t>B – Appréciation du Comité</w:t>
      </w:r>
    </w:p>
    <w:p w:rsidRPr="00A86354" w:rsidR="008F0D0E" w:rsidP="00A86354" w:rsidRDefault="008F0D0E" w14:paraId="020989A2" w14:textId="77777777">
      <w:pPr>
        <w:ind w:left="360" w:hanging="360"/>
        <w:rPr>
          <w:rFonts w:ascii="Arial" w:hAnsi="Arial" w:cs="Arial"/>
          <w:lang w:val="fr-FR"/>
        </w:rPr>
      </w:pPr>
    </w:p>
    <w:p w:rsidRPr="00A86354" w:rsidR="00FF47AF" w:rsidP="00CE016A" w:rsidRDefault="00FF47AF" w14:paraId="224F6D54" w14:textId="52D4F04A">
      <w:pPr>
        <w:numPr>
          <w:ilvl w:val="0"/>
          <w:numId w:val="1"/>
        </w:numPr>
        <w:ind w:left="0" w:firstLine="0"/>
        <w:rPr>
          <w:rFonts w:ascii="Arial" w:hAnsi="Arial" w:cs="Arial"/>
          <w:lang w:val="fr-FR"/>
        </w:rPr>
      </w:pPr>
      <w:r w:rsidRPr="00A86354">
        <w:rPr>
          <w:rFonts w:ascii="Arial" w:hAnsi="Arial" w:cs="Arial" w:eastAsiaTheme="minorHAnsi"/>
          <w:bCs/>
          <w:shd w:val="clear" w:color="auto" w:fill="FFFFFF"/>
          <w:lang w:val="fr-FR" w:eastAsia="en-US"/>
        </w:rPr>
        <w:t xml:space="preserve">Le Comité décide de ne pas faire de recommandation au Comité des Ministres en ce qui concerne la demande des organisations réclamantes relative au paiement de </w:t>
      </w:r>
      <w:r w:rsidRPr="00A86354">
        <w:rPr>
          <w:rFonts w:ascii="Arial" w:hAnsi="Arial" w:cs="Arial" w:eastAsiaTheme="minorHAnsi"/>
          <w:shd w:val="clear" w:color="auto" w:fill="FFFFFF"/>
          <w:lang w:val="fr-FR" w:eastAsia="en-US"/>
        </w:rPr>
        <w:t xml:space="preserve">5 000 </w:t>
      </w:r>
      <w:r w:rsidRPr="00A86354" w:rsidR="003C431F">
        <w:rPr>
          <w:rFonts w:ascii="Arial" w:hAnsi="Arial" w:cs="Arial" w:eastAsiaTheme="minorHAnsi"/>
          <w:shd w:val="clear" w:color="auto" w:fill="FFFFFF"/>
          <w:lang w:val="fr-FR" w:eastAsia="en-US"/>
        </w:rPr>
        <w:t>EUR</w:t>
      </w:r>
      <w:r w:rsidRPr="00A86354">
        <w:rPr>
          <w:rFonts w:ascii="Arial" w:hAnsi="Arial" w:cs="Arial" w:eastAsiaTheme="minorHAnsi"/>
          <w:shd w:val="clear" w:color="auto" w:fill="FFFFFF"/>
          <w:lang w:val="fr-FR" w:eastAsia="en-US"/>
        </w:rPr>
        <w:t xml:space="preserve"> à chacune d’entre elles </w:t>
      </w:r>
      <w:r w:rsidRPr="00A86354">
        <w:rPr>
          <w:rFonts w:ascii="Arial" w:hAnsi="Arial" w:cs="Arial" w:eastAsiaTheme="minorHAnsi"/>
          <w:bCs/>
          <w:shd w:val="clear" w:color="auto" w:fill="FFFFFF"/>
          <w:lang w:val="fr-FR" w:eastAsia="en-US"/>
        </w:rPr>
        <w:t xml:space="preserve">en compensation des frais encourus dans le cadre de la présente procédure. Il renvoie à cet égard à la position adoptée dans le passé par le Comité des Ministres (voir Résolution CM/ResChS(2016)4 dans l’affaire Centre </w:t>
      </w:r>
      <w:r w:rsidRPr="00A86354">
        <w:rPr>
          <w:rFonts w:ascii="Arial" w:hAnsi="Arial" w:cs="Arial"/>
          <w:lang w:val="fr-FR"/>
        </w:rPr>
        <w:t>européen</w:t>
      </w:r>
      <w:r w:rsidRPr="00A86354">
        <w:rPr>
          <w:rFonts w:ascii="Arial" w:hAnsi="Arial" w:cs="Arial" w:eastAsiaTheme="minorHAnsi"/>
          <w:bCs/>
          <w:shd w:val="clear" w:color="auto" w:fill="FFFFFF"/>
          <w:lang w:val="fr-FR" w:eastAsia="en-US"/>
        </w:rPr>
        <w:t xml:space="preserve"> des droits des Roms (CEDR) c. Irlande, réclamation n° 100/2013) et à la lettre du </w:t>
      </w:r>
      <w:r w:rsidRPr="00A86354" w:rsidR="00E41BAF">
        <w:rPr>
          <w:rFonts w:ascii="Arial" w:hAnsi="Arial" w:cs="Arial" w:eastAsiaTheme="minorHAnsi"/>
          <w:bCs/>
          <w:shd w:val="clear" w:color="auto" w:fill="FFFFFF"/>
          <w:lang w:val="fr-FR" w:eastAsia="en-US"/>
        </w:rPr>
        <w:t>P</w:t>
      </w:r>
      <w:r w:rsidRPr="00A86354">
        <w:rPr>
          <w:rFonts w:ascii="Arial" w:hAnsi="Arial" w:cs="Arial" w:eastAsiaTheme="minorHAnsi"/>
          <w:bCs/>
          <w:shd w:val="clear" w:color="auto" w:fill="FFFFFF"/>
          <w:lang w:val="fr-FR" w:eastAsia="en-US"/>
        </w:rPr>
        <w:t xml:space="preserve">résident du Comité adressée au Comité des Ministres en date du 3 février 2017 dans laquelle le </w:t>
      </w:r>
      <w:r w:rsidRPr="00A86354" w:rsidR="00E41BAF">
        <w:rPr>
          <w:rFonts w:ascii="Arial" w:hAnsi="Arial" w:cs="Arial" w:eastAsiaTheme="minorHAnsi"/>
          <w:bCs/>
          <w:shd w:val="clear" w:color="auto" w:fill="FFFFFF"/>
          <w:lang w:val="fr-FR" w:eastAsia="en-US"/>
        </w:rPr>
        <w:t>P</w:t>
      </w:r>
      <w:r w:rsidRPr="00A86354">
        <w:rPr>
          <w:rFonts w:ascii="Arial" w:hAnsi="Arial" w:cs="Arial" w:eastAsiaTheme="minorHAnsi"/>
          <w:bCs/>
          <w:shd w:val="clear" w:color="auto" w:fill="FFFFFF"/>
          <w:lang w:val="fr-FR" w:eastAsia="en-US"/>
        </w:rPr>
        <w:t>résident a annoncé que le Comité s’abstiendrait provisoirement de faire des recommandations au Comité des Ministres concernant le remboursement des frais</w:t>
      </w:r>
      <w:r w:rsidRPr="00A86354" w:rsidR="00086146">
        <w:rPr>
          <w:rFonts w:ascii="Arial" w:hAnsi="Arial" w:cs="Arial" w:eastAsiaTheme="minorHAnsi"/>
          <w:shd w:val="clear" w:color="auto" w:fill="FFFFFF"/>
          <w:lang w:val="fr-FR" w:eastAsia="en-US"/>
        </w:rPr>
        <w:t xml:space="preserve">. </w:t>
      </w:r>
    </w:p>
    <w:p w:rsidRPr="00A86354" w:rsidR="00FF47AF" w:rsidP="00FF47AF" w:rsidRDefault="00FF47AF" w14:paraId="5C21ECCE" w14:textId="77777777">
      <w:pPr>
        <w:pStyle w:val="ListParagraph"/>
        <w:rPr>
          <w:lang w:val="fr-FR"/>
        </w:rPr>
      </w:pPr>
    </w:p>
    <w:p w:rsidRPr="00A86354" w:rsidR="00FF47AF" w:rsidP="00FF47AF" w:rsidRDefault="008F0D0E" w14:paraId="1C868B02" w14:textId="167C2330">
      <w:pPr>
        <w:shd w:val="clear" w:color="auto" w:fill="FFFFFF"/>
        <w:rPr>
          <w:rFonts w:ascii="Arial" w:hAnsi="Arial" w:cs="Arial"/>
          <w:lang w:val="fr-FR" w:eastAsia="en-GB"/>
        </w:rPr>
      </w:pPr>
      <w:r w:rsidRPr="00A86354">
        <w:rPr>
          <w:rFonts w:ascii="Arial" w:hAnsi="Arial" w:cs="Arial"/>
          <w:b/>
          <w:bCs/>
          <w:lang w:val="fr-FR" w:eastAsia="en-GB"/>
        </w:rPr>
        <w:br w:type="column"/>
      </w:r>
      <w:r w:rsidRPr="00A86354" w:rsidR="00FF47AF">
        <w:rPr>
          <w:rFonts w:ascii="Arial" w:hAnsi="Arial" w:cs="Arial"/>
          <w:b/>
          <w:bCs/>
          <w:lang w:val="fr-FR" w:eastAsia="en-GB"/>
        </w:rPr>
        <w:lastRenderedPageBreak/>
        <w:t>CONCLUSION</w:t>
      </w:r>
    </w:p>
    <w:p w:rsidRPr="00A86354" w:rsidR="00FF47AF" w:rsidP="00FF47AF" w:rsidRDefault="00FF47AF" w14:paraId="708F7BFA" w14:textId="4E133853">
      <w:pPr>
        <w:shd w:val="clear" w:color="auto" w:fill="FFFFFF"/>
        <w:rPr>
          <w:rFonts w:ascii="Arial" w:hAnsi="Arial" w:cs="Arial"/>
          <w:lang w:val="fr-FR" w:eastAsia="en-GB"/>
        </w:rPr>
      </w:pPr>
    </w:p>
    <w:p w:rsidRPr="00A86354" w:rsidR="00E41BAF" w:rsidP="00FF47AF" w:rsidRDefault="00E41BAF" w14:paraId="6BF44143" w14:textId="77777777">
      <w:pPr>
        <w:shd w:val="clear" w:color="auto" w:fill="FFFFFF"/>
        <w:rPr>
          <w:rFonts w:ascii="Arial" w:hAnsi="Arial" w:cs="Arial"/>
          <w:lang w:val="fr-FR" w:eastAsia="en-GB"/>
        </w:rPr>
      </w:pPr>
    </w:p>
    <w:p w:rsidRPr="00A86354" w:rsidR="00FF47AF" w:rsidP="00FF47AF" w:rsidRDefault="00FF47AF" w14:paraId="4B942520" w14:textId="77777777">
      <w:pPr>
        <w:shd w:val="clear" w:color="auto" w:fill="FFFFFF"/>
        <w:rPr>
          <w:rFonts w:ascii="Arial" w:hAnsi="Arial" w:cs="Arial"/>
          <w:lang w:val="fr-FR" w:eastAsia="en-GB"/>
        </w:rPr>
      </w:pPr>
      <w:bookmarkStart w:name="lt_pId330" w:id="38"/>
      <w:r w:rsidRPr="00A86354">
        <w:rPr>
          <w:rFonts w:ascii="Arial" w:hAnsi="Arial" w:cs="Arial"/>
          <w:lang w:val="fr-FR" w:eastAsia="en-GB"/>
        </w:rPr>
        <w:t>Par ces motifs, le Comité conclut :</w:t>
      </w:r>
      <w:bookmarkEnd w:id="38"/>
    </w:p>
    <w:p w:rsidRPr="00A86354" w:rsidR="00FF47AF" w:rsidP="00FF47AF" w:rsidRDefault="00FF47AF" w14:paraId="0D61077B" w14:textId="77777777">
      <w:pPr>
        <w:shd w:val="clear" w:color="auto" w:fill="FFFFFF"/>
        <w:rPr>
          <w:rFonts w:ascii="Arial" w:hAnsi="Arial" w:cs="Arial"/>
          <w:lang w:val="fr-FR" w:eastAsia="en-GB"/>
        </w:rPr>
      </w:pPr>
      <w:r w:rsidRPr="00A86354">
        <w:rPr>
          <w:rFonts w:ascii="Arial" w:hAnsi="Arial" w:cs="Arial"/>
          <w:lang w:val="fr-FR" w:eastAsia="en-GB"/>
        </w:rPr>
        <w:t> </w:t>
      </w:r>
    </w:p>
    <w:p w:rsidRPr="00A86354" w:rsidR="00FF47AF" w:rsidP="00CE016A" w:rsidRDefault="00FF47AF" w14:paraId="5E68BEC4" w14:textId="5264A224">
      <w:pPr>
        <w:numPr>
          <w:ilvl w:val="0"/>
          <w:numId w:val="13"/>
        </w:numPr>
        <w:shd w:val="clear" w:color="auto" w:fill="FFFFFF"/>
        <w:spacing w:line="259" w:lineRule="auto"/>
        <w:ind w:left="0" w:firstLine="0"/>
        <w:contextualSpacing/>
        <w:rPr>
          <w:rFonts w:ascii="Arial" w:hAnsi="Arial" w:cs="Arial"/>
          <w:lang w:val="fr-FR" w:eastAsia="en-GB"/>
        </w:rPr>
      </w:pPr>
      <w:r w:rsidRPr="00A86354">
        <w:rPr>
          <w:rFonts w:ascii="Arial" w:hAnsi="Arial" w:cs="Arial"/>
          <w:lang w:val="fr-FR" w:eastAsia="en-GB"/>
        </w:rPr>
        <w:t xml:space="preserve">à l’unanimité qu’il y a violation de l’article 15§3 de la Charte ; </w:t>
      </w:r>
    </w:p>
    <w:p w:rsidRPr="00A86354" w:rsidR="00FF47AF" w:rsidP="00FF47AF" w:rsidRDefault="00FF47AF" w14:paraId="736B512C" w14:textId="77777777">
      <w:pPr>
        <w:shd w:val="clear" w:color="auto" w:fill="FFFFFF"/>
        <w:spacing w:line="259" w:lineRule="auto"/>
        <w:contextualSpacing/>
        <w:rPr>
          <w:rFonts w:ascii="Arial" w:hAnsi="Arial" w:cs="Arial"/>
          <w:lang w:val="fr-FR" w:eastAsia="en-GB"/>
        </w:rPr>
      </w:pPr>
    </w:p>
    <w:p w:rsidRPr="00A86354" w:rsidR="00FF47AF" w:rsidP="00CE016A" w:rsidRDefault="00FF47AF" w14:paraId="7715FB5E" w14:textId="79AD1EAF">
      <w:pPr>
        <w:numPr>
          <w:ilvl w:val="0"/>
          <w:numId w:val="13"/>
        </w:numPr>
        <w:shd w:val="clear" w:color="auto" w:fill="FFFFFF"/>
        <w:spacing w:line="259" w:lineRule="auto"/>
        <w:ind w:left="0" w:firstLine="0"/>
        <w:contextualSpacing/>
        <w:rPr>
          <w:rFonts w:ascii="Arial" w:hAnsi="Arial" w:cs="Arial"/>
          <w:lang w:val="fr-FR" w:eastAsia="en-GB"/>
        </w:rPr>
      </w:pPr>
      <w:r w:rsidRPr="00A86354">
        <w:rPr>
          <w:rFonts w:ascii="Arial" w:hAnsi="Arial" w:cs="Arial"/>
          <w:lang w:val="fr-FR" w:eastAsia="en-GB"/>
        </w:rPr>
        <w:t>à l’unanimité qu’il y a violation de l’article 15§1 de la Charte ;</w:t>
      </w:r>
      <w:r w:rsidRPr="00A86354" w:rsidR="00035301">
        <w:rPr>
          <w:rFonts w:ascii="Arial" w:hAnsi="Arial" w:cs="Arial"/>
          <w:lang w:val="fr-FR" w:eastAsia="en-GB"/>
        </w:rPr>
        <w:t xml:space="preserve"> </w:t>
      </w:r>
    </w:p>
    <w:p w:rsidRPr="00A86354" w:rsidR="00FF47AF" w:rsidP="00FF47AF" w:rsidRDefault="00FF47AF" w14:paraId="2159450E" w14:textId="77777777">
      <w:pPr>
        <w:pStyle w:val="ListParagraph"/>
        <w:ind w:left="360"/>
        <w:rPr>
          <w:rFonts w:cs="Arial"/>
          <w:lang w:val="fr-FR" w:eastAsia="en-GB"/>
        </w:rPr>
      </w:pPr>
    </w:p>
    <w:p w:rsidRPr="00A86354" w:rsidR="00FF47AF" w:rsidP="00CE016A" w:rsidRDefault="00FF47AF" w14:paraId="78BADFF5" w14:textId="017F1717">
      <w:pPr>
        <w:numPr>
          <w:ilvl w:val="0"/>
          <w:numId w:val="13"/>
        </w:numPr>
        <w:shd w:val="clear" w:color="auto" w:fill="FFFFFF"/>
        <w:spacing w:line="259" w:lineRule="auto"/>
        <w:ind w:left="0" w:firstLine="0"/>
        <w:contextualSpacing/>
        <w:rPr>
          <w:rFonts w:ascii="Arial" w:hAnsi="Arial" w:cs="Arial"/>
          <w:lang w:val="fr-FR" w:eastAsia="en-GB"/>
        </w:rPr>
      </w:pPr>
      <w:r w:rsidRPr="00A86354">
        <w:rPr>
          <w:rFonts w:ascii="Arial" w:hAnsi="Arial" w:cs="Arial"/>
          <w:lang w:val="fr-FR" w:eastAsia="en-GB"/>
        </w:rPr>
        <w:t>à l’unanimité qu’il y a violation de l’article 11§1 de la Charte ;</w:t>
      </w:r>
      <w:r w:rsidRPr="00A86354" w:rsidR="00035301">
        <w:rPr>
          <w:rFonts w:ascii="Arial" w:hAnsi="Arial" w:cs="Arial"/>
          <w:lang w:val="fr-FR" w:eastAsia="en-GB"/>
        </w:rPr>
        <w:t xml:space="preserve">  </w:t>
      </w:r>
    </w:p>
    <w:p w:rsidRPr="00A86354" w:rsidR="00E41BAF" w:rsidP="00A86354" w:rsidRDefault="00E41BAF" w14:paraId="5A381E2C" w14:textId="77777777">
      <w:pPr>
        <w:shd w:val="clear" w:color="auto" w:fill="FFFFFF"/>
        <w:spacing w:line="259" w:lineRule="auto"/>
        <w:contextualSpacing/>
        <w:rPr>
          <w:rFonts w:ascii="Arial" w:hAnsi="Arial" w:cs="Arial"/>
          <w:lang w:val="fr-FR" w:eastAsia="en-GB"/>
        </w:rPr>
      </w:pPr>
    </w:p>
    <w:p w:rsidRPr="00FE3556" w:rsidR="009C30C1" w:rsidP="00CE016A" w:rsidRDefault="00FF47AF" w14:paraId="2C0E0622" w14:textId="77777777">
      <w:pPr>
        <w:numPr>
          <w:ilvl w:val="0"/>
          <w:numId w:val="13"/>
        </w:numPr>
        <w:shd w:val="clear" w:color="auto" w:fill="FFFFFF"/>
        <w:spacing w:line="259" w:lineRule="auto"/>
        <w:ind w:left="0" w:firstLine="0"/>
        <w:contextualSpacing/>
        <w:rPr>
          <w:rFonts w:ascii="Arial" w:hAnsi="Arial" w:cs="Arial"/>
          <w:b/>
          <w:color w:val="000000" w:themeColor="text1"/>
          <w:lang w:val="fr-FR"/>
        </w:rPr>
      </w:pPr>
      <w:r w:rsidRPr="00A86354">
        <w:rPr>
          <w:rFonts w:ascii="Arial" w:hAnsi="Arial" w:cs="Arial"/>
          <w:lang w:val="fr-FR" w:eastAsia="en-GB"/>
        </w:rPr>
        <w:t>à l’unanimité qu’il y a violation de l’article 16 de la Charte</w:t>
      </w:r>
      <w:r w:rsidRPr="00A86354" w:rsidR="004971B7">
        <w:rPr>
          <w:rFonts w:ascii="Arial" w:hAnsi="Arial" w:cs="Arial"/>
          <w:lang w:val="fr-FR" w:eastAsia="en-GB"/>
        </w:rPr>
        <w:t>.</w:t>
      </w:r>
      <w:bookmarkEnd w:id="1"/>
    </w:p>
    <w:tbl>
      <w:tblPr>
        <w:tblW w:w="9322" w:type="dxa"/>
        <w:tblBorders>
          <w:top w:val="nil"/>
          <w:left w:val="nil"/>
          <w:bottom w:val="nil"/>
          <w:right w:val="nil"/>
          <w:insideH w:val="nil"/>
          <w:insideV w:val="nil"/>
        </w:tblBorders>
        <w:tblLayout w:type="fixed"/>
        <w:tblLook w:val="0000" w:firstRow="0" w:lastRow="0" w:firstColumn="0" w:lastColumn="0" w:noHBand="0" w:noVBand="0"/>
      </w:tblPr>
      <w:tblGrid>
        <w:gridCol w:w="2802"/>
        <w:gridCol w:w="3260"/>
        <w:gridCol w:w="3260"/>
      </w:tblGrid>
      <w:tr w:rsidRPr="00FE3556" w:rsidR="009C30C1" w:rsidTr="002071C7" w14:paraId="6AAB417C" w14:textId="77777777">
        <w:tc>
          <w:tcPr>
            <w:tcW w:w="2802" w:type="dxa"/>
            <w:tcBorders>
              <w:top w:val="nil"/>
              <w:left w:val="nil"/>
              <w:bottom w:val="nil"/>
              <w:right w:val="nil"/>
            </w:tcBorders>
            <w:shd w:val="clear" w:color="auto" w:fill="FFFFFF"/>
          </w:tcPr>
          <w:p w:rsidRPr="00FE3556" w:rsidR="009C30C1" w:rsidP="002071C7" w:rsidRDefault="009C30C1" w14:paraId="05E48A41" w14:textId="77777777">
            <w:pPr>
              <w:tabs>
                <w:tab w:val="left" w:pos="709"/>
              </w:tabs>
              <w:jc w:val="center"/>
              <w:rPr>
                <w:rFonts w:ascii="Arial" w:hAnsi="Arial" w:cs="Arial"/>
                <w:noProof/>
                <w:lang w:val="en-US" w:eastAsia="fr-FR"/>
              </w:rPr>
            </w:pPr>
            <w:r w:rsidRPr="00FE3556">
              <w:rPr>
                <w:rFonts w:ascii="Arial" w:hAnsi="Arial" w:eastAsia="SimSun" w:cs="Arial"/>
                <w:noProof/>
                <w:szCs w:val="22"/>
                <w:lang w:val="fr-FR" w:eastAsia="fr-FR"/>
              </w:rPr>
              <w:drawing>
                <wp:inline distT="0" distB="0" distL="0" distR="0" wp14:anchorId="5A297A65" wp14:editId="04496B15">
                  <wp:extent cx="1952643" cy="93165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7130" cy="933794"/>
                          </a:xfrm>
                          <a:prstGeom prst="rect">
                            <a:avLst/>
                          </a:prstGeom>
                          <a:noFill/>
                          <a:ln>
                            <a:noFill/>
                          </a:ln>
                        </pic:spPr>
                      </pic:pic>
                    </a:graphicData>
                  </a:graphic>
                </wp:inline>
              </w:drawing>
            </w:r>
          </w:p>
        </w:tc>
        <w:tc>
          <w:tcPr>
            <w:tcW w:w="3260" w:type="dxa"/>
            <w:tcBorders>
              <w:top w:val="nil"/>
              <w:left w:val="nil"/>
              <w:bottom w:val="nil"/>
              <w:right w:val="nil"/>
            </w:tcBorders>
            <w:shd w:val="clear" w:color="auto" w:fill="FFFFFF"/>
          </w:tcPr>
          <w:p w:rsidRPr="00FE3556" w:rsidR="009C30C1" w:rsidP="002071C7" w:rsidRDefault="009C30C1" w14:paraId="2B988501" w14:textId="77777777">
            <w:pPr>
              <w:suppressAutoHyphens/>
              <w:jc w:val="center"/>
              <w:rPr>
                <w:rFonts w:ascii="Arial" w:hAnsi="Arial" w:eastAsia="SimSun" w:cs="Arial"/>
                <w:noProof/>
                <w:szCs w:val="22"/>
              </w:rPr>
            </w:pPr>
            <w:r w:rsidRPr="00FE3556">
              <w:rPr>
                <w:rFonts w:ascii="Arial" w:hAnsi="Arial" w:eastAsia="SimSun" w:cs="Arial"/>
                <w:noProof/>
                <w:szCs w:val="22"/>
                <w:lang w:val="fr-FR" w:eastAsia="fr-FR"/>
              </w:rPr>
              <w:drawing>
                <wp:inline distT="0" distB="0" distL="0" distR="0" wp14:anchorId="0F9DB7CF" wp14:editId="30A13600">
                  <wp:extent cx="1860706" cy="1077561"/>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60706" cy="1077561"/>
                          </a:xfrm>
                          <a:prstGeom prst="rect">
                            <a:avLst/>
                          </a:prstGeom>
                          <a:noFill/>
                          <a:ln>
                            <a:noFill/>
                          </a:ln>
                        </pic:spPr>
                      </pic:pic>
                    </a:graphicData>
                  </a:graphic>
                </wp:inline>
              </w:drawing>
            </w:r>
          </w:p>
        </w:tc>
        <w:tc>
          <w:tcPr>
            <w:tcW w:w="3260" w:type="dxa"/>
            <w:tcBorders>
              <w:top w:val="nil"/>
              <w:left w:val="nil"/>
              <w:bottom w:val="nil"/>
              <w:right w:val="nil"/>
            </w:tcBorders>
            <w:shd w:val="clear" w:color="auto" w:fill="FFFFFF"/>
          </w:tcPr>
          <w:p w:rsidRPr="00FE3556" w:rsidR="009C30C1" w:rsidP="002071C7" w:rsidRDefault="009C30C1" w14:paraId="15334358" w14:textId="77777777">
            <w:pPr>
              <w:suppressAutoHyphens/>
              <w:jc w:val="center"/>
              <w:rPr>
                <w:rFonts w:ascii="Arial" w:hAnsi="Arial" w:eastAsia="SimSun" w:cs="Arial"/>
                <w:noProof/>
                <w:szCs w:val="22"/>
              </w:rPr>
            </w:pPr>
            <w:r w:rsidRPr="00FE3556">
              <w:rPr>
                <w:rFonts w:ascii="Arial" w:hAnsi="Arial" w:eastAsia="Calibri" w:cs="Arial"/>
                <w:noProof/>
                <w:sz w:val="22"/>
                <w:szCs w:val="22"/>
                <w:lang w:val="fr-FR" w:eastAsia="fr-FR"/>
              </w:rPr>
              <w:drawing>
                <wp:anchor distT="0" distB="0" distL="114300" distR="114300" simplePos="0" relativeHeight="251668480" behindDoc="0" locked="0" layoutInCell="1" allowOverlap="1" wp14:editId="5126AB51" wp14:anchorId="33A16183">
                  <wp:simplePos x="0" y="0"/>
                  <wp:positionH relativeFrom="column">
                    <wp:posOffset>107315</wp:posOffset>
                  </wp:positionH>
                  <wp:positionV relativeFrom="paragraph">
                    <wp:posOffset>296545</wp:posOffset>
                  </wp:positionV>
                  <wp:extent cx="1789200" cy="716400"/>
                  <wp:effectExtent l="0" t="0" r="1905"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66113" t="23636" r="6999"/>
                          <a:stretch>
                            <a:fillRect/>
                          </a:stretch>
                        </pic:blipFill>
                        <pic:spPr bwMode="auto">
                          <a:xfrm>
                            <a:off x="0" y="0"/>
                            <a:ext cx="17892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8C5C54" w:rsidR="009C30C1" w:rsidTr="002071C7" w14:paraId="6A0D0F6B" w14:textId="77777777">
        <w:tc>
          <w:tcPr>
            <w:tcW w:w="2802" w:type="dxa"/>
            <w:tcBorders>
              <w:top w:val="nil"/>
              <w:left w:val="nil"/>
              <w:bottom w:val="nil"/>
              <w:right w:val="nil"/>
            </w:tcBorders>
            <w:shd w:val="clear" w:color="auto" w:fill="FFFFFF"/>
          </w:tcPr>
          <w:p w:rsidRPr="00FE3556" w:rsidR="009C30C1" w:rsidP="002071C7" w:rsidRDefault="009C30C1" w14:paraId="46FC2CEE" w14:textId="77777777">
            <w:pPr>
              <w:tabs>
                <w:tab w:val="left" w:pos="709"/>
              </w:tabs>
              <w:jc w:val="center"/>
              <w:rPr>
                <w:rFonts w:ascii="Arial" w:hAnsi="Arial" w:cs="Arial" w:eastAsiaTheme="minorHAnsi"/>
                <w:noProof/>
                <w:color w:val="000000"/>
              </w:rPr>
            </w:pPr>
            <w:r w:rsidRPr="00FE3556">
              <w:rPr>
                <w:rFonts w:ascii="Arial" w:hAnsi="Arial" w:cs="Arial"/>
                <w:noProof/>
                <w:lang w:val="en-US" w:eastAsia="fr-FR"/>
              </w:rPr>
              <w:t>Aoife NOLAN</w:t>
            </w:r>
          </w:p>
          <w:p w:rsidRPr="00FE3556" w:rsidR="009C30C1" w:rsidP="002071C7" w:rsidRDefault="009C30C1" w14:paraId="53547C1A" w14:textId="77777777">
            <w:pPr>
              <w:suppressAutoHyphens/>
              <w:jc w:val="center"/>
              <w:rPr>
                <w:rFonts w:ascii="Arial" w:hAnsi="Arial" w:eastAsia="SimSun" w:cs="Arial"/>
                <w:noProof/>
                <w:szCs w:val="22"/>
              </w:rPr>
            </w:pPr>
            <w:r w:rsidRPr="00FE3556">
              <w:rPr>
                <w:rFonts w:ascii="Arial" w:hAnsi="Arial" w:eastAsia="SimSun" w:cs="Arial"/>
                <w:noProof/>
                <w:szCs w:val="22"/>
              </w:rPr>
              <w:t>Rapporteur</w:t>
            </w:r>
          </w:p>
        </w:tc>
        <w:tc>
          <w:tcPr>
            <w:tcW w:w="3260" w:type="dxa"/>
            <w:tcBorders>
              <w:top w:val="nil"/>
              <w:left w:val="nil"/>
              <w:bottom w:val="nil"/>
              <w:right w:val="nil"/>
            </w:tcBorders>
            <w:shd w:val="clear" w:color="auto" w:fill="FFFFFF"/>
          </w:tcPr>
          <w:p w:rsidRPr="00FE3556" w:rsidR="009C30C1" w:rsidP="002071C7" w:rsidRDefault="009C30C1" w14:paraId="6B29E2E2" w14:textId="77777777">
            <w:pPr>
              <w:suppressAutoHyphens/>
              <w:jc w:val="center"/>
              <w:rPr>
                <w:rFonts w:ascii="Arial" w:hAnsi="Arial" w:eastAsia="SimSun" w:cs="Arial"/>
                <w:noProof/>
                <w:szCs w:val="22"/>
              </w:rPr>
            </w:pPr>
            <w:r w:rsidRPr="00FE3556">
              <w:rPr>
                <w:rFonts w:ascii="Arial" w:hAnsi="Arial" w:eastAsia="SimSun" w:cs="Arial"/>
                <w:noProof/>
                <w:szCs w:val="22"/>
              </w:rPr>
              <w:t>Karin LUKAS</w:t>
            </w:r>
          </w:p>
          <w:p w:rsidRPr="00FE3556" w:rsidR="009C30C1" w:rsidP="002071C7" w:rsidRDefault="009C30C1" w14:paraId="40F1F874" w14:textId="77777777">
            <w:pPr>
              <w:suppressAutoHyphens/>
              <w:jc w:val="center"/>
              <w:rPr>
                <w:rFonts w:ascii="Arial" w:hAnsi="Arial" w:eastAsia="SimSun" w:cs="Arial"/>
                <w:noProof/>
                <w:szCs w:val="22"/>
              </w:rPr>
            </w:pPr>
            <w:r w:rsidRPr="00FE3556">
              <w:rPr>
                <w:rFonts w:ascii="Arial" w:hAnsi="Arial" w:eastAsia="SimSun" w:cs="Arial"/>
                <w:noProof/>
                <w:szCs w:val="22"/>
              </w:rPr>
              <w:t>Président</w:t>
            </w:r>
            <w:r>
              <w:rPr>
                <w:rFonts w:ascii="Arial" w:hAnsi="Arial" w:eastAsia="SimSun" w:cs="Arial"/>
                <w:noProof/>
                <w:szCs w:val="22"/>
              </w:rPr>
              <w:t>e</w:t>
            </w:r>
          </w:p>
        </w:tc>
        <w:tc>
          <w:tcPr>
            <w:tcW w:w="3260" w:type="dxa"/>
            <w:tcBorders>
              <w:top w:val="nil"/>
              <w:left w:val="nil"/>
              <w:bottom w:val="nil"/>
              <w:right w:val="nil"/>
            </w:tcBorders>
            <w:shd w:val="clear" w:color="auto" w:fill="FFFFFF"/>
          </w:tcPr>
          <w:p w:rsidRPr="00FE3556" w:rsidR="009C30C1" w:rsidP="002071C7" w:rsidRDefault="009C30C1" w14:paraId="1DD559D4" w14:textId="77777777">
            <w:pPr>
              <w:suppressAutoHyphens/>
              <w:jc w:val="center"/>
              <w:rPr>
                <w:rFonts w:ascii="Arial" w:hAnsi="Arial" w:eastAsia="SimSun" w:cs="Arial"/>
                <w:noProof/>
                <w:szCs w:val="22"/>
                <w:lang w:val="fr-FR"/>
              </w:rPr>
            </w:pPr>
            <w:r w:rsidRPr="00FE3556">
              <w:rPr>
                <w:rFonts w:ascii="Arial" w:hAnsi="Arial" w:eastAsia="SimSun" w:cs="Arial"/>
                <w:noProof/>
                <w:szCs w:val="22"/>
                <w:lang w:val="fr-FR"/>
              </w:rPr>
              <w:t>Henrik KRISTENSEN</w:t>
            </w:r>
          </w:p>
          <w:p w:rsidRPr="00FE3556" w:rsidR="009C30C1" w:rsidP="002071C7" w:rsidRDefault="009C30C1" w14:paraId="1CE3CBC5" w14:textId="77777777">
            <w:pPr>
              <w:suppressAutoHyphens/>
              <w:jc w:val="center"/>
              <w:rPr>
                <w:rFonts w:ascii="Arial" w:hAnsi="Arial" w:eastAsia="SimSun" w:cs="Arial"/>
                <w:noProof/>
                <w:szCs w:val="22"/>
                <w:lang w:val="fr-FR"/>
              </w:rPr>
            </w:pPr>
            <w:r w:rsidRPr="00FE3556">
              <w:rPr>
                <w:rFonts w:ascii="Arial" w:hAnsi="Arial" w:eastAsia="SimSun" w:cs="Arial"/>
                <w:noProof/>
                <w:szCs w:val="22"/>
                <w:lang w:val="fr-FR"/>
              </w:rPr>
              <w:t>Secrétaire exécutif adjoint</w:t>
            </w:r>
          </w:p>
        </w:tc>
      </w:tr>
    </w:tbl>
    <w:p w:rsidRPr="00A86354" w:rsidR="00F00A8B" w:rsidP="009C30C1" w:rsidRDefault="00F00A8B" w14:paraId="09582148" w14:textId="12156752">
      <w:pPr>
        <w:shd w:val="clear" w:color="auto" w:fill="FFFFFF"/>
        <w:spacing w:line="259" w:lineRule="auto"/>
        <w:contextualSpacing/>
        <w:rPr>
          <w:rFonts w:ascii="Arial" w:hAnsi="Arial" w:eastAsia="Calibri" w:cs="Arial"/>
          <w:b/>
          <w:lang w:val="fr-FR"/>
        </w:rPr>
      </w:pPr>
    </w:p>
    <w:sectPr w:rsidRPr="00A86354" w:rsidR="00F00A8B" w:rsidSect="004341BD">
      <w:headerReference w:type="default" r:id="rId13"/>
      <w:pgSz w:w="11907" w:h="16840" w:code="9"/>
      <w:pgMar w:top="141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F7C7" w14:textId="77777777" w:rsidR="00CE1B46" w:rsidRDefault="00CE1B46" w:rsidP="003C2933">
      <w:r>
        <w:separator/>
      </w:r>
    </w:p>
  </w:endnote>
  <w:endnote w:type="continuationSeparator" w:id="0">
    <w:p w14:paraId="3E557E94" w14:textId="77777777" w:rsidR="00CE1B46" w:rsidRDefault="00CE1B46" w:rsidP="003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ACFD" w14:textId="77777777" w:rsidR="00CE1B46" w:rsidRDefault="00CE1B46" w:rsidP="003C2933">
      <w:r>
        <w:separator/>
      </w:r>
    </w:p>
  </w:footnote>
  <w:footnote w:type="continuationSeparator" w:id="0">
    <w:p w14:paraId="2F23C537" w14:textId="77777777" w:rsidR="00CE1B46" w:rsidRDefault="00CE1B46" w:rsidP="003C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655244"/>
      <w:docPartObj>
        <w:docPartGallery w:val="Page Numbers (Top of Page)"/>
        <w:docPartUnique/>
      </w:docPartObj>
    </w:sdtPr>
    <w:sdtContent>
      <w:p w14:paraId="68EA630F" w14:textId="77777777" w:rsidR="00BD53BB" w:rsidRDefault="00CE016A">
        <w:pPr>
          <w:pStyle w:val="Header"/>
          <w:jc w:val="center"/>
        </w:pPr>
        <w:r w:rsidRPr="00BD53BB">
          <w:rPr>
            <w:rFonts w:ascii="Arial" w:hAnsi="Arial"/>
            <w:sz w:val="20"/>
          </w:rPr>
          <w:fldChar w:fldCharType="begin"/>
        </w:r>
        <w:r w:rsidRPr="00BD53BB">
          <w:rPr>
            <w:rFonts w:ascii="Arial" w:hAnsi="Arial"/>
            <w:sz w:val="20"/>
          </w:rPr>
          <w:instrText>PAGE   \* MERGEFORMAT</w:instrText>
        </w:r>
        <w:r w:rsidRPr="00BD53BB">
          <w:rPr>
            <w:rFonts w:ascii="Arial" w:hAnsi="Arial"/>
            <w:sz w:val="20"/>
          </w:rPr>
          <w:fldChar w:fldCharType="separate"/>
        </w:r>
        <w:r w:rsidRPr="00FC0DEF">
          <w:rPr>
            <w:rFonts w:ascii="Arial" w:hAnsi="Arial"/>
            <w:noProof/>
            <w:sz w:val="20"/>
            <w:lang w:val="fr-FR"/>
          </w:rPr>
          <w:t>-</w:t>
        </w:r>
        <w:r>
          <w:rPr>
            <w:rFonts w:ascii="Arial" w:hAnsi="Arial"/>
            <w:noProof/>
            <w:sz w:val="20"/>
          </w:rPr>
          <w:t xml:space="preserve"> 7 -</w:t>
        </w:r>
        <w:r w:rsidRPr="00BD53BB">
          <w:rPr>
            <w:rFonts w:ascii="Arial" w:hAnsi="Arial"/>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1EB5"/>
    <w:multiLevelType w:val="hybridMultilevel"/>
    <w:tmpl w:val="FCB0802C"/>
    <w:lvl w:ilvl="0" w:tplc="882A2124">
      <w:start w:val="1"/>
      <w:numFmt w:val="decimal"/>
      <w:lvlText w:val="%1."/>
      <w:lvlJc w:val="left"/>
      <w:pPr>
        <w:ind w:left="360" w:hanging="360"/>
      </w:pPr>
      <w:rPr>
        <w:rFonts w:ascii="Arial" w:hAnsi="Arial" w:cs="Arial" w:hint="default"/>
        <w:b w:val="0"/>
        <w:bCs w:val="0"/>
        <w:i w:val="0"/>
        <w:iCs w:val="0"/>
        <w:sz w:val="24"/>
        <w:szCs w:val="24"/>
      </w:rPr>
    </w:lvl>
    <w:lvl w:ilvl="1" w:tplc="5E66D440">
      <w:start w:val="1"/>
      <w:numFmt w:val="lowerLetter"/>
      <w:pStyle w:val="Heading1"/>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BC343D4"/>
    <w:multiLevelType w:val="hybridMultilevel"/>
    <w:tmpl w:val="B444081A"/>
    <w:lvl w:ilvl="0" w:tplc="B1D24FB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ED46D0A"/>
    <w:multiLevelType w:val="hybridMultilevel"/>
    <w:tmpl w:val="67523B98"/>
    <w:lvl w:ilvl="0" w:tplc="8166C44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2752E"/>
    <w:multiLevelType w:val="hybridMultilevel"/>
    <w:tmpl w:val="ED9C2ECA"/>
    <w:lvl w:ilvl="0" w:tplc="5E543F2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B5384"/>
    <w:multiLevelType w:val="hybridMultilevel"/>
    <w:tmpl w:val="D466D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40761"/>
    <w:multiLevelType w:val="hybridMultilevel"/>
    <w:tmpl w:val="1660DCBC"/>
    <w:lvl w:ilvl="0" w:tplc="58E47C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02C15"/>
    <w:multiLevelType w:val="hybridMultilevel"/>
    <w:tmpl w:val="6D1E89B4"/>
    <w:lvl w:ilvl="0" w:tplc="547EF95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918ED"/>
    <w:multiLevelType w:val="hybridMultilevel"/>
    <w:tmpl w:val="28E07B06"/>
    <w:lvl w:ilvl="0" w:tplc="9E78F9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B002A"/>
    <w:multiLevelType w:val="hybridMultilevel"/>
    <w:tmpl w:val="92E87A7A"/>
    <w:lvl w:ilvl="0" w:tplc="AA2E51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A676857"/>
    <w:multiLevelType w:val="hybridMultilevel"/>
    <w:tmpl w:val="275A12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3875A0"/>
    <w:multiLevelType w:val="hybridMultilevel"/>
    <w:tmpl w:val="10D07C1A"/>
    <w:lvl w:ilvl="0" w:tplc="23DC34C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71616657"/>
    <w:multiLevelType w:val="hybridMultilevel"/>
    <w:tmpl w:val="BCC2F6A2"/>
    <w:lvl w:ilvl="0" w:tplc="04090017">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A242DB"/>
    <w:multiLevelType w:val="hybridMultilevel"/>
    <w:tmpl w:val="6430FAA4"/>
    <w:lvl w:ilvl="0" w:tplc="2462408C">
      <w:start w:val="1"/>
      <w:numFmt w:val="decimal"/>
      <w:lvlText w:val="%1."/>
      <w:lvlJc w:val="left"/>
      <w:pPr>
        <w:ind w:left="360" w:hanging="360"/>
      </w:pPr>
      <w:rPr>
        <w:rFonts w:ascii="Arial" w:hAnsi="Arial" w:cs="Aria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E94CDD"/>
    <w:multiLevelType w:val="hybridMultilevel"/>
    <w:tmpl w:val="87E4CA08"/>
    <w:lvl w:ilvl="0" w:tplc="E91433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D1972F0"/>
    <w:multiLevelType w:val="hybridMultilevel"/>
    <w:tmpl w:val="22CEB466"/>
    <w:lvl w:ilvl="0" w:tplc="44CA8CDA">
      <w:start w:val="1"/>
      <w:numFmt w:val="upperRoman"/>
      <w:lvlText w:val="%1."/>
      <w:lvlJc w:val="left"/>
      <w:pPr>
        <w:ind w:left="1080" w:hanging="720"/>
      </w:pPr>
      <w:rPr>
        <w:rFonts w:eastAsiaTheme="majorEastAsia"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800EC"/>
    <w:multiLevelType w:val="hybridMultilevel"/>
    <w:tmpl w:val="B3925B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6281222">
    <w:abstractNumId w:val="0"/>
  </w:num>
  <w:num w:numId="2" w16cid:durableId="818957159">
    <w:abstractNumId w:val="7"/>
  </w:num>
  <w:num w:numId="3" w16cid:durableId="1068190397">
    <w:abstractNumId w:val="14"/>
  </w:num>
  <w:num w:numId="4" w16cid:durableId="29913898">
    <w:abstractNumId w:val="8"/>
  </w:num>
  <w:num w:numId="5" w16cid:durableId="1726442591">
    <w:abstractNumId w:val="10"/>
  </w:num>
  <w:num w:numId="6" w16cid:durableId="145175001">
    <w:abstractNumId w:val="4"/>
  </w:num>
  <w:num w:numId="7" w16cid:durableId="372079163">
    <w:abstractNumId w:val="1"/>
  </w:num>
  <w:num w:numId="8" w16cid:durableId="1336491310">
    <w:abstractNumId w:val="3"/>
  </w:num>
  <w:num w:numId="9" w16cid:durableId="1452674132">
    <w:abstractNumId w:val="5"/>
  </w:num>
  <w:num w:numId="10" w16cid:durableId="1363088128">
    <w:abstractNumId w:val="9"/>
  </w:num>
  <w:num w:numId="11" w16cid:durableId="393891288">
    <w:abstractNumId w:val="15"/>
  </w:num>
  <w:num w:numId="12" w16cid:durableId="1936018571">
    <w:abstractNumId w:val="13"/>
  </w:num>
  <w:num w:numId="13" w16cid:durableId="899941006">
    <w:abstractNumId w:val="6"/>
  </w:num>
  <w:num w:numId="14" w16cid:durableId="451092670">
    <w:abstractNumId w:val="0"/>
    <w:lvlOverride w:ilvl="0">
      <w:startOverride w:val="1"/>
    </w:lvlOverride>
    <w:lvlOverride w:ilvl="1">
      <w:startOverride w:val="2"/>
    </w:lvlOverride>
  </w:num>
  <w:num w:numId="15" w16cid:durableId="214508611">
    <w:abstractNumId w:val="2"/>
  </w:num>
  <w:num w:numId="16" w16cid:durableId="412432608">
    <w:abstractNumId w:val="12"/>
  </w:num>
  <w:num w:numId="17" w16cid:durableId="15880880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A01"/>
    <w:rsid w:val="00000326"/>
    <w:rsid w:val="0000138F"/>
    <w:rsid w:val="00001A05"/>
    <w:rsid w:val="00001E0B"/>
    <w:rsid w:val="00003887"/>
    <w:rsid w:val="00004D72"/>
    <w:rsid w:val="00006471"/>
    <w:rsid w:val="00010752"/>
    <w:rsid w:val="00010E00"/>
    <w:rsid w:val="0001115B"/>
    <w:rsid w:val="00012761"/>
    <w:rsid w:val="00013F37"/>
    <w:rsid w:val="00014E86"/>
    <w:rsid w:val="00015EDB"/>
    <w:rsid w:val="00017250"/>
    <w:rsid w:val="000175F2"/>
    <w:rsid w:val="00020B75"/>
    <w:rsid w:val="00022789"/>
    <w:rsid w:val="00023C57"/>
    <w:rsid w:val="00023EDC"/>
    <w:rsid w:val="00024CB3"/>
    <w:rsid w:val="0002553D"/>
    <w:rsid w:val="00026069"/>
    <w:rsid w:val="0002644B"/>
    <w:rsid w:val="00026906"/>
    <w:rsid w:val="00026BA5"/>
    <w:rsid w:val="00026D9A"/>
    <w:rsid w:val="00027440"/>
    <w:rsid w:val="00030DB1"/>
    <w:rsid w:val="000319D5"/>
    <w:rsid w:val="00031A3C"/>
    <w:rsid w:val="00031D90"/>
    <w:rsid w:val="00031E4F"/>
    <w:rsid w:val="000327FC"/>
    <w:rsid w:val="00032B95"/>
    <w:rsid w:val="00034E17"/>
    <w:rsid w:val="00035301"/>
    <w:rsid w:val="00037049"/>
    <w:rsid w:val="000374BD"/>
    <w:rsid w:val="000402FA"/>
    <w:rsid w:val="00041518"/>
    <w:rsid w:val="000416B3"/>
    <w:rsid w:val="000419D0"/>
    <w:rsid w:val="0004357D"/>
    <w:rsid w:val="00043B60"/>
    <w:rsid w:val="00044354"/>
    <w:rsid w:val="000464B6"/>
    <w:rsid w:val="0005068B"/>
    <w:rsid w:val="000507C6"/>
    <w:rsid w:val="00051FE7"/>
    <w:rsid w:val="00053B84"/>
    <w:rsid w:val="0005439A"/>
    <w:rsid w:val="00054746"/>
    <w:rsid w:val="00055225"/>
    <w:rsid w:val="000556C3"/>
    <w:rsid w:val="00056329"/>
    <w:rsid w:val="00056A03"/>
    <w:rsid w:val="00056A3A"/>
    <w:rsid w:val="0005724B"/>
    <w:rsid w:val="000602E5"/>
    <w:rsid w:val="0006032C"/>
    <w:rsid w:val="00062AEA"/>
    <w:rsid w:val="00064D2D"/>
    <w:rsid w:val="00066225"/>
    <w:rsid w:val="0006642B"/>
    <w:rsid w:val="00066FAA"/>
    <w:rsid w:val="0006768C"/>
    <w:rsid w:val="000679E4"/>
    <w:rsid w:val="000709BE"/>
    <w:rsid w:val="00071AF4"/>
    <w:rsid w:val="000728AA"/>
    <w:rsid w:val="00073643"/>
    <w:rsid w:val="00074550"/>
    <w:rsid w:val="0007478E"/>
    <w:rsid w:val="00075648"/>
    <w:rsid w:val="00077FE7"/>
    <w:rsid w:val="000807D5"/>
    <w:rsid w:val="000807EE"/>
    <w:rsid w:val="000812A1"/>
    <w:rsid w:val="000823D2"/>
    <w:rsid w:val="00082BC1"/>
    <w:rsid w:val="00084767"/>
    <w:rsid w:val="00084FEC"/>
    <w:rsid w:val="00085327"/>
    <w:rsid w:val="00085E21"/>
    <w:rsid w:val="00086146"/>
    <w:rsid w:val="00086C29"/>
    <w:rsid w:val="00090A7E"/>
    <w:rsid w:val="0009289C"/>
    <w:rsid w:val="00093E1B"/>
    <w:rsid w:val="00094321"/>
    <w:rsid w:val="00096324"/>
    <w:rsid w:val="00096CBE"/>
    <w:rsid w:val="000A1E74"/>
    <w:rsid w:val="000A21A9"/>
    <w:rsid w:val="000A311E"/>
    <w:rsid w:val="000A3919"/>
    <w:rsid w:val="000A3EFD"/>
    <w:rsid w:val="000A5907"/>
    <w:rsid w:val="000A60B5"/>
    <w:rsid w:val="000A62A4"/>
    <w:rsid w:val="000A6EA8"/>
    <w:rsid w:val="000A715F"/>
    <w:rsid w:val="000B0F66"/>
    <w:rsid w:val="000B15BD"/>
    <w:rsid w:val="000B1CEC"/>
    <w:rsid w:val="000B3D0A"/>
    <w:rsid w:val="000B4301"/>
    <w:rsid w:val="000B5655"/>
    <w:rsid w:val="000B7648"/>
    <w:rsid w:val="000C13C9"/>
    <w:rsid w:val="000C23FD"/>
    <w:rsid w:val="000C2D20"/>
    <w:rsid w:val="000C36A7"/>
    <w:rsid w:val="000C4BD9"/>
    <w:rsid w:val="000C7204"/>
    <w:rsid w:val="000D0F93"/>
    <w:rsid w:val="000D0F98"/>
    <w:rsid w:val="000D2D8B"/>
    <w:rsid w:val="000D469D"/>
    <w:rsid w:val="000D4ABF"/>
    <w:rsid w:val="000D7BE7"/>
    <w:rsid w:val="000E0342"/>
    <w:rsid w:val="000E070D"/>
    <w:rsid w:val="000E1A25"/>
    <w:rsid w:val="000E29DA"/>
    <w:rsid w:val="000E39F9"/>
    <w:rsid w:val="000E3CCF"/>
    <w:rsid w:val="000E4625"/>
    <w:rsid w:val="000E6A0A"/>
    <w:rsid w:val="000E6CE1"/>
    <w:rsid w:val="000E71CF"/>
    <w:rsid w:val="000F3593"/>
    <w:rsid w:val="000F3CC7"/>
    <w:rsid w:val="000F5035"/>
    <w:rsid w:val="000F51C9"/>
    <w:rsid w:val="000F5565"/>
    <w:rsid w:val="000F741E"/>
    <w:rsid w:val="000F7A5A"/>
    <w:rsid w:val="00100215"/>
    <w:rsid w:val="00101096"/>
    <w:rsid w:val="00101433"/>
    <w:rsid w:val="00101E61"/>
    <w:rsid w:val="00101F0C"/>
    <w:rsid w:val="001033F3"/>
    <w:rsid w:val="00104A3E"/>
    <w:rsid w:val="0010671E"/>
    <w:rsid w:val="0010726D"/>
    <w:rsid w:val="001130D2"/>
    <w:rsid w:val="001131B1"/>
    <w:rsid w:val="001134E0"/>
    <w:rsid w:val="001145A1"/>
    <w:rsid w:val="00114F7F"/>
    <w:rsid w:val="0011501E"/>
    <w:rsid w:val="00115380"/>
    <w:rsid w:val="00116876"/>
    <w:rsid w:val="0011717A"/>
    <w:rsid w:val="001175C7"/>
    <w:rsid w:val="0012006C"/>
    <w:rsid w:val="0012020B"/>
    <w:rsid w:val="00120255"/>
    <w:rsid w:val="00120B79"/>
    <w:rsid w:val="0012307E"/>
    <w:rsid w:val="00123764"/>
    <w:rsid w:val="001243BD"/>
    <w:rsid w:val="00124ADE"/>
    <w:rsid w:val="00125E9B"/>
    <w:rsid w:val="001268F0"/>
    <w:rsid w:val="00126F1F"/>
    <w:rsid w:val="0012735E"/>
    <w:rsid w:val="00127936"/>
    <w:rsid w:val="00130FFB"/>
    <w:rsid w:val="00131791"/>
    <w:rsid w:val="00131870"/>
    <w:rsid w:val="001318E7"/>
    <w:rsid w:val="00132A13"/>
    <w:rsid w:val="001332CC"/>
    <w:rsid w:val="0013361E"/>
    <w:rsid w:val="00134361"/>
    <w:rsid w:val="00134F59"/>
    <w:rsid w:val="00134F60"/>
    <w:rsid w:val="001365EC"/>
    <w:rsid w:val="0013678F"/>
    <w:rsid w:val="00137F4D"/>
    <w:rsid w:val="00141076"/>
    <w:rsid w:val="00141A77"/>
    <w:rsid w:val="00143676"/>
    <w:rsid w:val="00145162"/>
    <w:rsid w:val="001474DF"/>
    <w:rsid w:val="00150913"/>
    <w:rsid w:val="001525B1"/>
    <w:rsid w:val="001548CB"/>
    <w:rsid w:val="00155C84"/>
    <w:rsid w:val="001602E7"/>
    <w:rsid w:val="001620E0"/>
    <w:rsid w:val="001622DF"/>
    <w:rsid w:val="0016240B"/>
    <w:rsid w:val="00162E02"/>
    <w:rsid w:val="00164744"/>
    <w:rsid w:val="00166771"/>
    <w:rsid w:val="001668BB"/>
    <w:rsid w:val="00167BB0"/>
    <w:rsid w:val="00167F92"/>
    <w:rsid w:val="00170977"/>
    <w:rsid w:val="001723FB"/>
    <w:rsid w:val="00172578"/>
    <w:rsid w:val="00173632"/>
    <w:rsid w:val="00173FC5"/>
    <w:rsid w:val="00175BB4"/>
    <w:rsid w:val="001763F7"/>
    <w:rsid w:val="00176E65"/>
    <w:rsid w:val="001776E7"/>
    <w:rsid w:val="0017786E"/>
    <w:rsid w:val="00177A75"/>
    <w:rsid w:val="00177F10"/>
    <w:rsid w:val="001810CA"/>
    <w:rsid w:val="00182D24"/>
    <w:rsid w:val="00183666"/>
    <w:rsid w:val="00183B9B"/>
    <w:rsid w:val="00184540"/>
    <w:rsid w:val="00184541"/>
    <w:rsid w:val="00184860"/>
    <w:rsid w:val="00185939"/>
    <w:rsid w:val="001900BB"/>
    <w:rsid w:val="001906A0"/>
    <w:rsid w:val="001908FE"/>
    <w:rsid w:val="00190A3F"/>
    <w:rsid w:val="001924CB"/>
    <w:rsid w:val="00193CFB"/>
    <w:rsid w:val="00194C32"/>
    <w:rsid w:val="00195222"/>
    <w:rsid w:val="001955A9"/>
    <w:rsid w:val="00195FA2"/>
    <w:rsid w:val="001A1477"/>
    <w:rsid w:val="001A1A97"/>
    <w:rsid w:val="001A3137"/>
    <w:rsid w:val="001A31DD"/>
    <w:rsid w:val="001A3D56"/>
    <w:rsid w:val="001A42EA"/>
    <w:rsid w:val="001A5A2C"/>
    <w:rsid w:val="001A7073"/>
    <w:rsid w:val="001B0445"/>
    <w:rsid w:val="001B14E0"/>
    <w:rsid w:val="001B2026"/>
    <w:rsid w:val="001B26CF"/>
    <w:rsid w:val="001B30B3"/>
    <w:rsid w:val="001B42B3"/>
    <w:rsid w:val="001B4673"/>
    <w:rsid w:val="001B4B60"/>
    <w:rsid w:val="001B4BD9"/>
    <w:rsid w:val="001B68DB"/>
    <w:rsid w:val="001B6C45"/>
    <w:rsid w:val="001C010D"/>
    <w:rsid w:val="001C30E8"/>
    <w:rsid w:val="001C454C"/>
    <w:rsid w:val="001C4AE2"/>
    <w:rsid w:val="001C5ECD"/>
    <w:rsid w:val="001C62EF"/>
    <w:rsid w:val="001C63F1"/>
    <w:rsid w:val="001C6AE8"/>
    <w:rsid w:val="001D1A9A"/>
    <w:rsid w:val="001D2E58"/>
    <w:rsid w:val="001D45EC"/>
    <w:rsid w:val="001D4E6A"/>
    <w:rsid w:val="001D55EE"/>
    <w:rsid w:val="001D618F"/>
    <w:rsid w:val="001D6837"/>
    <w:rsid w:val="001D7418"/>
    <w:rsid w:val="001E0DA6"/>
    <w:rsid w:val="001E15EC"/>
    <w:rsid w:val="001E2355"/>
    <w:rsid w:val="001E2483"/>
    <w:rsid w:val="001E272E"/>
    <w:rsid w:val="001E2D71"/>
    <w:rsid w:val="001E3641"/>
    <w:rsid w:val="001E3F2B"/>
    <w:rsid w:val="001E43CE"/>
    <w:rsid w:val="001E45B2"/>
    <w:rsid w:val="001F0D86"/>
    <w:rsid w:val="001F248B"/>
    <w:rsid w:val="001F30A3"/>
    <w:rsid w:val="001F3518"/>
    <w:rsid w:val="001F366F"/>
    <w:rsid w:val="001F4191"/>
    <w:rsid w:val="001F4399"/>
    <w:rsid w:val="001F4627"/>
    <w:rsid w:val="001F6830"/>
    <w:rsid w:val="001F781B"/>
    <w:rsid w:val="001F788F"/>
    <w:rsid w:val="00200C2F"/>
    <w:rsid w:val="0020210F"/>
    <w:rsid w:val="00202D30"/>
    <w:rsid w:val="00203729"/>
    <w:rsid w:val="0020463A"/>
    <w:rsid w:val="00204AAD"/>
    <w:rsid w:val="00204C2A"/>
    <w:rsid w:val="00204E27"/>
    <w:rsid w:val="00205577"/>
    <w:rsid w:val="00205D5C"/>
    <w:rsid w:val="00206DEB"/>
    <w:rsid w:val="00207275"/>
    <w:rsid w:val="00207679"/>
    <w:rsid w:val="00210228"/>
    <w:rsid w:val="002104F2"/>
    <w:rsid w:val="00210F09"/>
    <w:rsid w:val="00211984"/>
    <w:rsid w:val="00211B7D"/>
    <w:rsid w:val="00211CF8"/>
    <w:rsid w:val="00211E9F"/>
    <w:rsid w:val="00212E1B"/>
    <w:rsid w:val="00212E41"/>
    <w:rsid w:val="00213A42"/>
    <w:rsid w:val="00213D9C"/>
    <w:rsid w:val="002141A6"/>
    <w:rsid w:val="0021597F"/>
    <w:rsid w:val="00215F49"/>
    <w:rsid w:val="00221506"/>
    <w:rsid w:val="00222779"/>
    <w:rsid w:val="00222FAB"/>
    <w:rsid w:val="0022310C"/>
    <w:rsid w:val="00223703"/>
    <w:rsid w:val="00223BFB"/>
    <w:rsid w:val="00224CB8"/>
    <w:rsid w:val="00226A78"/>
    <w:rsid w:val="002300C2"/>
    <w:rsid w:val="002301CA"/>
    <w:rsid w:val="0023077F"/>
    <w:rsid w:val="00231821"/>
    <w:rsid w:val="00232262"/>
    <w:rsid w:val="00232B4B"/>
    <w:rsid w:val="00233151"/>
    <w:rsid w:val="0023361A"/>
    <w:rsid w:val="002352E1"/>
    <w:rsid w:val="00236305"/>
    <w:rsid w:val="00237B65"/>
    <w:rsid w:val="002410E4"/>
    <w:rsid w:val="00242E62"/>
    <w:rsid w:val="00243A14"/>
    <w:rsid w:val="00244D61"/>
    <w:rsid w:val="00244DAC"/>
    <w:rsid w:val="002450D1"/>
    <w:rsid w:val="00247183"/>
    <w:rsid w:val="00247A78"/>
    <w:rsid w:val="00251842"/>
    <w:rsid w:val="00253D1F"/>
    <w:rsid w:val="0025675D"/>
    <w:rsid w:val="00261E9F"/>
    <w:rsid w:val="00262116"/>
    <w:rsid w:val="002638BD"/>
    <w:rsid w:val="002653C3"/>
    <w:rsid w:val="00266198"/>
    <w:rsid w:val="002673EC"/>
    <w:rsid w:val="00267438"/>
    <w:rsid w:val="00271781"/>
    <w:rsid w:val="00272B27"/>
    <w:rsid w:val="002746CB"/>
    <w:rsid w:val="00277790"/>
    <w:rsid w:val="00280AD9"/>
    <w:rsid w:val="00281F64"/>
    <w:rsid w:val="002820E6"/>
    <w:rsid w:val="00282521"/>
    <w:rsid w:val="00283850"/>
    <w:rsid w:val="00283EA2"/>
    <w:rsid w:val="00284E0D"/>
    <w:rsid w:val="00285F82"/>
    <w:rsid w:val="0028688D"/>
    <w:rsid w:val="002868CC"/>
    <w:rsid w:val="00286E33"/>
    <w:rsid w:val="0028752F"/>
    <w:rsid w:val="002900E3"/>
    <w:rsid w:val="00291A5C"/>
    <w:rsid w:val="002924AE"/>
    <w:rsid w:val="0029352D"/>
    <w:rsid w:val="002A0F2C"/>
    <w:rsid w:val="002A2033"/>
    <w:rsid w:val="002A232D"/>
    <w:rsid w:val="002A3BD6"/>
    <w:rsid w:val="002A44AC"/>
    <w:rsid w:val="002A5A51"/>
    <w:rsid w:val="002A5EFC"/>
    <w:rsid w:val="002A7225"/>
    <w:rsid w:val="002A7B2C"/>
    <w:rsid w:val="002B0D84"/>
    <w:rsid w:val="002B24C5"/>
    <w:rsid w:val="002B3F0A"/>
    <w:rsid w:val="002B4C44"/>
    <w:rsid w:val="002B5C00"/>
    <w:rsid w:val="002B5FF8"/>
    <w:rsid w:val="002B6895"/>
    <w:rsid w:val="002B72D8"/>
    <w:rsid w:val="002B7D30"/>
    <w:rsid w:val="002C01E5"/>
    <w:rsid w:val="002C0E22"/>
    <w:rsid w:val="002C101E"/>
    <w:rsid w:val="002C12DA"/>
    <w:rsid w:val="002C22F0"/>
    <w:rsid w:val="002C2842"/>
    <w:rsid w:val="002C357E"/>
    <w:rsid w:val="002C399B"/>
    <w:rsid w:val="002C4C60"/>
    <w:rsid w:val="002C54A4"/>
    <w:rsid w:val="002C56C6"/>
    <w:rsid w:val="002C56FD"/>
    <w:rsid w:val="002C5D46"/>
    <w:rsid w:val="002C7187"/>
    <w:rsid w:val="002C74CD"/>
    <w:rsid w:val="002C79A9"/>
    <w:rsid w:val="002C7B5B"/>
    <w:rsid w:val="002D0A48"/>
    <w:rsid w:val="002D114E"/>
    <w:rsid w:val="002D12C5"/>
    <w:rsid w:val="002D15D8"/>
    <w:rsid w:val="002D2065"/>
    <w:rsid w:val="002D27F7"/>
    <w:rsid w:val="002D4B60"/>
    <w:rsid w:val="002E0283"/>
    <w:rsid w:val="002E2F4B"/>
    <w:rsid w:val="002E4F63"/>
    <w:rsid w:val="002E525F"/>
    <w:rsid w:val="002E578C"/>
    <w:rsid w:val="002E5F54"/>
    <w:rsid w:val="002E63FB"/>
    <w:rsid w:val="002E6C8A"/>
    <w:rsid w:val="002E78AC"/>
    <w:rsid w:val="002F1477"/>
    <w:rsid w:val="002F203C"/>
    <w:rsid w:val="002F2FE1"/>
    <w:rsid w:val="002F3AD2"/>
    <w:rsid w:val="002F3CD1"/>
    <w:rsid w:val="002F42A4"/>
    <w:rsid w:val="00301A0E"/>
    <w:rsid w:val="00302444"/>
    <w:rsid w:val="00303CA9"/>
    <w:rsid w:val="00304F19"/>
    <w:rsid w:val="003054DA"/>
    <w:rsid w:val="0030570F"/>
    <w:rsid w:val="00305EDB"/>
    <w:rsid w:val="00305F9E"/>
    <w:rsid w:val="00306237"/>
    <w:rsid w:val="003109A4"/>
    <w:rsid w:val="003111B1"/>
    <w:rsid w:val="003136A0"/>
    <w:rsid w:val="003147A1"/>
    <w:rsid w:val="00315618"/>
    <w:rsid w:val="003166BF"/>
    <w:rsid w:val="00317329"/>
    <w:rsid w:val="00322226"/>
    <w:rsid w:val="003226E7"/>
    <w:rsid w:val="00324D6A"/>
    <w:rsid w:val="00325721"/>
    <w:rsid w:val="00327F0C"/>
    <w:rsid w:val="003300DC"/>
    <w:rsid w:val="0033066F"/>
    <w:rsid w:val="00330B90"/>
    <w:rsid w:val="0033253F"/>
    <w:rsid w:val="003328CB"/>
    <w:rsid w:val="00332C99"/>
    <w:rsid w:val="00333CED"/>
    <w:rsid w:val="00333FC6"/>
    <w:rsid w:val="00334920"/>
    <w:rsid w:val="00336935"/>
    <w:rsid w:val="00340BA4"/>
    <w:rsid w:val="003411D6"/>
    <w:rsid w:val="00341D98"/>
    <w:rsid w:val="00342400"/>
    <w:rsid w:val="00342F23"/>
    <w:rsid w:val="00342F65"/>
    <w:rsid w:val="0034344B"/>
    <w:rsid w:val="00343DC9"/>
    <w:rsid w:val="0034564E"/>
    <w:rsid w:val="00345DE5"/>
    <w:rsid w:val="00345F8F"/>
    <w:rsid w:val="00347898"/>
    <w:rsid w:val="003521D0"/>
    <w:rsid w:val="003535C7"/>
    <w:rsid w:val="003544FB"/>
    <w:rsid w:val="00354EA5"/>
    <w:rsid w:val="00355108"/>
    <w:rsid w:val="00355A6C"/>
    <w:rsid w:val="003562DA"/>
    <w:rsid w:val="00357187"/>
    <w:rsid w:val="00357783"/>
    <w:rsid w:val="00357900"/>
    <w:rsid w:val="00357F9C"/>
    <w:rsid w:val="0036074C"/>
    <w:rsid w:val="0036396B"/>
    <w:rsid w:val="00363C2E"/>
    <w:rsid w:val="00366A37"/>
    <w:rsid w:val="003671E0"/>
    <w:rsid w:val="00367462"/>
    <w:rsid w:val="003675C3"/>
    <w:rsid w:val="003719FD"/>
    <w:rsid w:val="00372899"/>
    <w:rsid w:val="0037457A"/>
    <w:rsid w:val="00376E98"/>
    <w:rsid w:val="00377261"/>
    <w:rsid w:val="00377787"/>
    <w:rsid w:val="00377F2D"/>
    <w:rsid w:val="00377F70"/>
    <w:rsid w:val="003802CC"/>
    <w:rsid w:val="00381629"/>
    <w:rsid w:val="00381852"/>
    <w:rsid w:val="00381ED7"/>
    <w:rsid w:val="00382426"/>
    <w:rsid w:val="00384620"/>
    <w:rsid w:val="00384A25"/>
    <w:rsid w:val="00385520"/>
    <w:rsid w:val="00385B9E"/>
    <w:rsid w:val="00385D97"/>
    <w:rsid w:val="00386A6E"/>
    <w:rsid w:val="0038742B"/>
    <w:rsid w:val="0039225F"/>
    <w:rsid w:val="00392F32"/>
    <w:rsid w:val="003934A4"/>
    <w:rsid w:val="003936C0"/>
    <w:rsid w:val="00394390"/>
    <w:rsid w:val="00394CAB"/>
    <w:rsid w:val="0039507C"/>
    <w:rsid w:val="003955D1"/>
    <w:rsid w:val="0039571A"/>
    <w:rsid w:val="00395BBF"/>
    <w:rsid w:val="003977A3"/>
    <w:rsid w:val="003A2712"/>
    <w:rsid w:val="003A42E0"/>
    <w:rsid w:val="003A6BA0"/>
    <w:rsid w:val="003A70B5"/>
    <w:rsid w:val="003A76AB"/>
    <w:rsid w:val="003A7F27"/>
    <w:rsid w:val="003B0671"/>
    <w:rsid w:val="003B12C3"/>
    <w:rsid w:val="003B165D"/>
    <w:rsid w:val="003B1E2B"/>
    <w:rsid w:val="003B2AED"/>
    <w:rsid w:val="003B3EFE"/>
    <w:rsid w:val="003B41BC"/>
    <w:rsid w:val="003B6D6E"/>
    <w:rsid w:val="003C0255"/>
    <w:rsid w:val="003C0F36"/>
    <w:rsid w:val="003C1166"/>
    <w:rsid w:val="003C1664"/>
    <w:rsid w:val="003C1A0F"/>
    <w:rsid w:val="003C1E15"/>
    <w:rsid w:val="003C2933"/>
    <w:rsid w:val="003C2ED9"/>
    <w:rsid w:val="003C317A"/>
    <w:rsid w:val="003C3D14"/>
    <w:rsid w:val="003C431F"/>
    <w:rsid w:val="003C4598"/>
    <w:rsid w:val="003C6298"/>
    <w:rsid w:val="003C716C"/>
    <w:rsid w:val="003C7D81"/>
    <w:rsid w:val="003D0989"/>
    <w:rsid w:val="003D34C2"/>
    <w:rsid w:val="003D4250"/>
    <w:rsid w:val="003D5765"/>
    <w:rsid w:val="003D69C7"/>
    <w:rsid w:val="003D7398"/>
    <w:rsid w:val="003E0032"/>
    <w:rsid w:val="003E17CA"/>
    <w:rsid w:val="003E18CF"/>
    <w:rsid w:val="003E1F48"/>
    <w:rsid w:val="003E226F"/>
    <w:rsid w:val="003E2349"/>
    <w:rsid w:val="003E4DAE"/>
    <w:rsid w:val="003E6AC0"/>
    <w:rsid w:val="003E7D3A"/>
    <w:rsid w:val="003F0C2E"/>
    <w:rsid w:val="003F0C5E"/>
    <w:rsid w:val="003F322B"/>
    <w:rsid w:val="003F373A"/>
    <w:rsid w:val="003F3E41"/>
    <w:rsid w:val="003F4D9B"/>
    <w:rsid w:val="003F7134"/>
    <w:rsid w:val="003F7DF5"/>
    <w:rsid w:val="00400FFB"/>
    <w:rsid w:val="00403D3C"/>
    <w:rsid w:val="0040523D"/>
    <w:rsid w:val="004058A0"/>
    <w:rsid w:val="00405F0F"/>
    <w:rsid w:val="00406FC4"/>
    <w:rsid w:val="00407C9D"/>
    <w:rsid w:val="00410A2A"/>
    <w:rsid w:val="00411672"/>
    <w:rsid w:val="004117F9"/>
    <w:rsid w:val="00411894"/>
    <w:rsid w:val="00411AAF"/>
    <w:rsid w:val="0041219F"/>
    <w:rsid w:val="00414E12"/>
    <w:rsid w:val="00415799"/>
    <w:rsid w:val="00416AEC"/>
    <w:rsid w:val="004176EF"/>
    <w:rsid w:val="0042068D"/>
    <w:rsid w:val="00420B76"/>
    <w:rsid w:val="004224AC"/>
    <w:rsid w:val="00422E81"/>
    <w:rsid w:val="00423004"/>
    <w:rsid w:val="00423143"/>
    <w:rsid w:val="00423904"/>
    <w:rsid w:val="00424500"/>
    <w:rsid w:val="00426097"/>
    <w:rsid w:val="004270F9"/>
    <w:rsid w:val="004278A7"/>
    <w:rsid w:val="004279A1"/>
    <w:rsid w:val="004309D0"/>
    <w:rsid w:val="00430CF7"/>
    <w:rsid w:val="00431679"/>
    <w:rsid w:val="004329BD"/>
    <w:rsid w:val="00432B7A"/>
    <w:rsid w:val="00433908"/>
    <w:rsid w:val="004341BD"/>
    <w:rsid w:val="004343DE"/>
    <w:rsid w:val="00434A99"/>
    <w:rsid w:val="00436F36"/>
    <w:rsid w:val="00436FAE"/>
    <w:rsid w:val="004378B7"/>
    <w:rsid w:val="004410A3"/>
    <w:rsid w:val="00441BD3"/>
    <w:rsid w:val="00441F7C"/>
    <w:rsid w:val="0044200D"/>
    <w:rsid w:val="00442535"/>
    <w:rsid w:val="00443AB6"/>
    <w:rsid w:val="00444579"/>
    <w:rsid w:val="00444593"/>
    <w:rsid w:val="00444BD8"/>
    <w:rsid w:val="00444C88"/>
    <w:rsid w:val="00444CE9"/>
    <w:rsid w:val="00445D96"/>
    <w:rsid w:val="0044618D"/>
    <w:rsid w:val="0044693A"/>
    <w:rsid w:val="00450A47"/>
    <w:rsid w:val="004514D4"/>
    <w:rsid w:val="00451AB5"/>
    <w:rsid w:val="00451D40"/>
    <w:rsid w:val="0045383F"/>
    <w:rsid w:val="00453CDB"/>
    <w:rsid w:val="00454776"/>
    <w:rsid w:val="00455107"/>
    <w:rsid w:val="004566D2"/>
    <w:rsid w:val="00456B46"/>
    <w:rsid w:val="00460147"/>
    <w:rsid w:val="0046120F"/>
    <w:rsid w:val="00462128"/>
    <w:rsid w:val="00462C6F"/>
    <w:rsid w:val="00462E82"/>
    <w:rsid w:val="00466F04"/>
    <w:rsid w:val="004670CA"/>
    <w:rsid w:val="0046722D"/>
    <w:rsid w:val="00467FF9"/>
    <w:rsid w:val="0047225B"/>
    <w:rsid w:val="0047355B"/>
    <w:rsid w:val="00474314"/>
    <w:rsid w:val="00475086"/>
    <w:rsid w:val="0047627A"/>
    <w:rsid w:val="004776D1"/>
    <w:rsid w:val="00482BC8"/>
    <w:rsid w:val="0048373C"/>
    <w:rsid w:val="004857E6"/>
    <w:rsid w:val="00486C88"/>
    <w:rsid w:val="00487902"/>
    <w:rsid w:val="0049012D"/>
    <w:rsid w:val="00490A85"/>
    <w:rsid w:val="004926F6"/>
    <w:rsid w:val="0049405D"/>
    <w:rsid w:val="00494FD3"/>
    <w:rsid w:val="004961B8"/>
    <w:rsid w:val="004971B7"/>
    <w:rsid w:val="004A2473"/>
    <w:rsid w:val="004A2B30"/>
    <w:rsid w:val="004A49C1"/>
    <w:rsid w:val="004A506C"/>
    <w:rsid w:val="004A5327"/>
    <w:rsid w:val="004A54DE"/>
    <w:rsid w:val="004A6706"/>
    <w:rsid w:val="004A6A16"/>
    <w:rsid w:val="004B0143"/>
    <w:rsid w:val="004B10FF"/>
    <w:rsid w:val="004B1A5F"/>
    <w:rsid w:val="004B33C5"/>
    <w:rsid w:val="004B3F4F"/>
    <w:rsid w:val="004B57CF"/>
    <w:rsid w:val="004B6F47"/>
    <w:rsid w:val="004B71BE"/>
    <w:rsid w:val="004B7383"/>
    <w:rsid w:val="004B73FA"/>
    <w:rsid w:val="004B7BF2"/>
    <w:rsid w:val="004C0564"/>
    <w:rsid w:val="004C0C34"/>
    <w:rsid w:val="004C0C3C"/>
    <w:rsid w:val="004C0EEB"/>
    <w:rsid w:val="004C1E87"/>
    <w:rsid w:val="004C2FDF"/>
    <w:rsid w:val="004C37D4"/>
    <w:rsid w:val="004C422A"/>
    <w:rsid w:val="004C6047"/>
    <w:rsid w:val="004C7BF1"/>
    <w:rsid w:val="004C7F1E"/>
    <w:rsid w:val="004D1835"/>
    <w:rsid w:val="004D42D9"/>
    <w:rsid w:val="004D4303"/>
    <w:rsid w:val="004D6136"/>
    <w:rsid w:val="004D6500"/>
    <w:rsid w:val="004D6759"/>
    <w:rsid w:val="004D719C"/>
    <w:rsid w:val="004D71AA"/>
    <w:rsid w:val="004D766A"/>
    <w:rsid w:val="004E2931"/>
    <w:rsid w:val="004E2E9A"/>
    <w:rsid w:val="004E30D6"/>
    <w:rsid w:val="004E3D9E"/>
    <w:rsid w:val="004E41F1"/>
    <w:rsid w:val="004E5160"/>
    <w:rsid w:val="004E58D2"/>
    <w:rsid w:val="004E6589"/>
    <w:rsid w:val="004E6607"/>
    <w:rsid w:val="004E6B7C"/>
    <w:rsid w:val="004E6CAA"/>
    <w:rsid w:val="004E7DBE"/>
    <w:rsid w:val="004F1D8D"/>
    <w:rsid w:val="004F1EC8"/>
    <w:rsid w:val="004F4975"/>
    <w:rsid w:val="004F5F82"/>
    <w:rsid w:val="004F63AE"/>
    <w:rsid w:val="004F7CC1"/>
    <w:rsid w:val="005004F1"/>
    <w:rsid w:val="005024C8"/>
    <w:rsid w:val="00503C03"/>
    <w:rsid w:val="00505426"/>
    <w:rsid w:val="005059B1"/>
    <w:rsid w:val="00511EF8"/>
    <w:rsid w:val="0051402E"/>
    <w:rsid w:val="005151C5"/>
    <w:rsid w:val="00515E1C"/>
    <w:rsid w:val="00517244"/>
    <w:rsid w:val="0051738C"/>
    <w:rsid w:val="00520768"/>
    <w:rsid w:val="00520D49"/>
    <w:rsid w:val="00521ECB"/>
    <w:rsid w:val="00522462"/>
    <w:rsid w:val="00524CC1"/>
    <w:rsid w:val="0052581E"/>
    <w:rsid w:val="00526193"/>
    <w:rsid w:val="005269F9"/>
    <w:rsid w:val="00526A61"/>
    <w:rsid w:val="005278B2"/>
    <w:rsid w:val="005301AC"/>
    <w:rsid w:val="00530321"/>
    <w:rsid w:val="0053732D"/>
    <w:rsid w:val="005409E0"/>
    <w:rsid w:val="00540E09"/>
    <w:rsid w:val="00540E40"/>
    <w:rsid w:val="00542A37"/>
    <w:rsid w:val="00543502"/>
    <w:rsid w:val="005435ED"/>
    <w:rsid w:val="00543DD6"/>
    <w:rsid w:val="00544D74"/>
    <w:rsid w:val="00545664"/>
    <w:rsid w:val="00545F9A"/>
    <w:rsid w:val="00547830"/>
    <w:rsid w:val="00551536"/>
    <w:rsid w:val="00551892"/>
    <w:rsid w:val="00551BD2"/>
    <w:rsid w:val="0055258E"/>
    <w:rsid w:val="0055457C"/>
    <w:rsid w:val="00555199"/>
    <w:rsid w:val="00555A8A"/>
    <w:rsid w:val="00556302"/>
    <w:rsid w:val="00560632"/>
    <w:rsid w:val="0056083A"/>
    <w:rsid w:val="00560B4A"/>
    <w:rsid w:val="005612CA"/>
    <w:rsid w:val="005622AA"/>
    <w:rsid w:val="00563ABA"/>
    <w:rsid w:val="00563B8E"/>
    <w:rsid w:val="0056706C"/>
    <w:rsid w:val="00567FAF"/>
    <w:rsid w:val="00571779"/>
    <w:rsid w:val="00571999"/>
    <w:rsid w:val="00571CF0"/>
    <w:rsid w:val="0057267C"/>
    <w:rsid w:val="00575195"/>
    <w:rsid w:val="00575832"/>
    <w:rsid w:val="00575CDC"/>
    <w:rsid w:val="005777B8"/>
    <w:rsid w:val="005804C3"/>
    <w:rsid w:val="00580B57"/>
    <w:rsid w:val="00581010"/>
    <w:rsid w:val="00583179"/>
    <w:rsid w:val="00587D5A"/>
    <w:rsid w:val="0059017B"/>
    <w:rsid w:val="00591570"/>
    <w:rsid w:val="00591FBA"/>
    <w:rsid w:val="00594EE2"/>
    <w:rsid w:val="005969D7"/>
    <w:rsid w:val="0059732D"/>
    <w:rsid w:val="005A0491"/>
    <w:rsid w:val="005A16A6"/>
    <w:rsid w:val="005A1D17"/>
    <w:rsid w:val="005A243F"/>
    <w:rsid w:val="005A24BD"/>
    <w:rsid w:val="005A2684"/>
    <w:rsid w:val="005A2BCD"/>
    <w:rsid w:val="005A4311"/>
    <w:rsid w:val="005A4DF7"/>
    <w:rsid w:val="005A566D"/>
    <w:rsid w:val="005A625E"/>
    <w:rsid w:val="005A66E4"/>
    <w:rsid w:val="005A6C46"/>
    <w:rsid w:val="005B0175"/>
    <w:rsid w:val="005B0479"/>
    <w:rsid w:val="005B26F2"/>
    <w:rsid w:val="005B3217"/>
    <w:rsid w:val="005B360D"/>
    <w:rsid w:val="005B531A"/>
    <w:rsid w:val="005B559F"/>
    <w:rsid w:val="005B6ABF"/>
    <w:rsid w:val="005B776A"/>
    <w:rsid w:val="005C1127"/>
    <w:rsid w:val="005C2A6E"/>
    <w:rsid w:val="005C414A"/>
    <w:rsid w:val="005C4377"/>
    <w:rsid w:val="005C4A9D"/>
    <w:rsid w:val="005C6622"/>
    <w:rsid w:val="005C6C69"/>
    <w:rsid w:val="005C7942"/>
    <w:rsid w:val="005D0482"/>
    <w:rsid w:val="005D3A17"/>
    <w:rsid w:val="005D55A5"/>
    <w:rsid w:val="005D5884"/>
    <w:rsid w:val="005D5C27"/>
    <w:rsid w:val="005D7DF2"/>
    <w:rsid w:val="005E0884"/>
    <w:rsid w:val="005E0B93"/>
    <w:rsid w:val="005E0E85"/>
    <w:rsid w:val="005E1000"/>
    <w:rsid w:val="005E18F6"/>
    <w:rsid w:val="005E3532"/>
    <w:rsid w:val="005E5DD3"/>
    <w:rsid w:val="005E72DE"/>
    <w:rsid w:val="005E764F"/>
    <w:rsid w:val="005E781A"/>
    <w:rsid w:val="005F08A5"/>
    <w:rsid w:val="005F0C4B"/>
    <w:rsid w:val="005F25E1"/>
    <w:rsid w:val="005F2949"/>
    <w:rsid w:val="005F405A"/>
    <w:rsid w:val="005F4B1F"/>
    <w:rsid w:val="005F7318"/>
    <w:rsid w:val="005F7BC4"/>
    <w:rsid w:val="00600D91"/>
    <w:rsid w:val="00600DC9"/>
    <w:rsid w:val="006013B4"/>
    <w:rsid w:val="0060174E"/>
    <w:rsid w:val="00601B35"/>
    <w:rsid w:val="00601C09"/>
    <w:rsid w:val="0060405A"/>
    <w:rsid w:val="0060443E"/>
    <w:rsid w:val="00605AEC"/>
    <w:rsid w:val="006077E1"/>
    <w:rsid w:val="006110AE"/>
    <w:rsid w:val="00611261"/>
    <w:rsid w:val="00613659"/>
    <w:rsid w:val="00615035"/>
    <w:rsid w:val="006169A6"/>
    <w:rsid w:val="00616B5B"/>
    <w:rsid w:val="00617027"/>
    <w:rsid w:val="00617C99"/>
    <w:rsid w:val="006222AF"/>
    <w:rsid w:val="006223EE"/>
    <w:rsid w:val="006227D0"/>
    <w:rsid w:val="00624C66"/>
    <w:rsid w:val="006267DD"/>
    <w:rsid w:val="006270C5"/>
    <w:rsid w:val="006278A3"/>
    <w:rsid w:val="00631ABE"/>
    <w:rsid w:val="0063418A"/>
    <w:rsid w:val="00634D11"/>
    <w:rsid w:val="0063652B"/>
    <w:rsid w:val="00637114"/>
    <w:rsid w:val="00640417"/>
    <w:rsid w:val="00640420"/>
    <w:rsid w:val="0064117B"/>
    <w:rsid w:val="006417DC"/>
    <w:rsid w:val="00641E08"/>
    <w:rsid w:val="0064461D"/>
    <w:rsid w:val="00644D14"/>
    <w:rsid w:val="0064770A"/>
    <w:rsid w:val="00650059"/>
    <w:rsid w:val="006508EC"/>
    <w:rsid w:val="00650ADA"/>
    <w:rsid w:val="006512AA"/>
    <w:rsid w:val="00651F09"/>
    <w:rsid w:val="006542B0"/>
    <w:rsid w:val="006557F0"/>
    <w:rsid w:val="00656226"/>
    <w:rsid w:val="00656FDF"/>
    <w:rsid w:val="006571E4"/>
    <w:rsid w:val="00657369"/>
    <w:rsid w:val="00657C0C"/>
    <w:rsid w:val="00662305"/>
    <w:rsid w:val="006625E8"/>
    <w:rsid w:val="00662612"/>
    <w:rsid w:val="00662B2E"/>
    <w:rsid w:val="0066561A"/>
    <w:rsid w:val="006656EE"/>
    <w:rsid w:val="00665D35"/>
    <w:rsid w:val="00670324"/>
    <w:rsid w:val="00672B2A"/>
    <w:rsid w:val="00672D57"/>
    <w:rsid w:val="00673A32"/>
    <w:rsid w:val="0067624A"/>
    <w:rsid w:val="00681D75"/>
    <w:rsid w:val="0068273F"/>
    <w:rsid w:val="00683E6E"/>
    <w:rsid w:val="006869E8"/>
    <w:rsid w:val="0068728F"/>
    <w:rsid w:val="00687821"/>
    <w:rsid w:val="006906C6"/>
    <w:rsid w:val="00691C08"/>
    <w:rsid w:val="00691DAC"/>
    <w:rsid w:val="006928A2"/>
    <w:rsid w:val="006937B6"/>
    <w:rsid w:val="006938ED"/>
    <w:rsid w:val="00693B93"/>
    <w:rsid w:val="006966B3"/>
    <w:rsid w:val="00697EEC"/>
    <w:rsid w:val="006A1F5D"/>
    <w:rsid w:val="006A6C4A"/>
    <w:rsid w:val="006A77EA"/>
    <w:rsid w:val="006A7C62"/>
    <w:rsid w:val="006A7D5B"/>
    <w:rsid w:val="006B00C7"/>
    <w:rsid w:val="006B09BB"/>
    <w:rsid w:val="006B12CF"/>
    <w:rsid w:val="006B1E6B"/>
    <w:rsid w:val="006B39E2"/>
    <w:rsid w:val="006B3E38"/>
    <w:rsid w:val="006B4614"/>
    <w:rsid w:val="006B5827"/>
    <w:rsid w:val="006B5E75"/>
    <w:rsid w:val="006B5E9C"/>
    <w:rsid w:val="006B76BF"/>
    <w:rsid w:val="006C0212"/>
    <w:rsid w:val="006C1F04"/>
    <w:rsid w:val="006C26C5"/>
    <w:rsid w:val="006C40BD"/>
    <w:rsid w:val="006C4817"/>
    <w:rsid w:val="006C6D0C"/>
    <w:rsid w:val="006C6F81"/>
    <w:rsid w:val="006D001D"/>
    <w:rsid w:val="006D18EB"/>
    <w:rsid w:val="006D1D7F"/>
    <w:rsid w:val="006D2292"/>
    <w:rsid w:val="006D29D8"/>
    <w:rsid w:val="006D42E7"/>
    <w:rsid w:val="006D51A1"/>
    <w:rsid w:val="006D7037"/>
    <w:rsid w:val="006E0236"/>
    <w:rsid w:val="006E05FB"/>
    <w:rsid w:val="006E24C8"/>
    <w:rsid w:val="006E3F1C"/>
    <w:rsid w:val="006E4509"/>
    <w:rsid w:val="006E47CF"/>
    <w:rsid w:val="006E4985"/>
    <w:rsid w:val="006E5098"/>
    <w:rsid w:val="006E564D"/>
    <w:rsid w:val="006E7C4A"/>
    <w:rsid w:val="006E7CE0"/>
    <w:rsid w:val="006F166A"/>
    <w:rsid w:val="006F1A5A"/>
    <w:rsid w:val="006F1C2D"/>
    <w:rsid w:val="006F2E94"/>
    <w:rsid w:val="006F347C"/>
    <w:rsid w:val="006F4D08"/>
    <w:rsid w:val="006F5839"/>
    <w:rsid w:val="006F64FB"/>
    <w:rsid w:val="006F6500"/>
    <w:rsid w:val="006F6E70"/>
    <w:rsid w:val="00700C90"/>
    <w:rsid w:val="00701E66"/>
    <w:rsid w:val="00702A06"/>
    <w:rsid w:val="007031B3"/>
    <w:rsid w:val="00703787"/>
    <w:rsid w:val="00705046"/>
    <w:rsid w:val="00706ADF"/>
    <w:rsid w:val="00706D41"/>
    <w:rsid w:val="00711871"/>
    <w:rsid w:val="00712606"/>
    <w:rsid w:val="00712BA1"/>
    <w:rsid w:val="00713761"/>
    <w:rsid w:val="0071391B"/>
    <w:rsid w:val="00714558"/>
    <w:rsid w:val="00714C0F"/>
    <w:rsid w:val="00715020"/>
    <w:rsid w:val="00715BB0"/>
    <w:rsid w:val="00716094"/>
    <w:rsid w:val="007206B2"/>
    <w:rsid w:val="007209B8"/>
    <w:rsid w:val="00720C37"/>
    <w:rsid w:val="00720F53"/>
    <w:rsid w:val="00720F6A"/>
    <w:rsid w:val="00721086"/>
    <w:rsid w:val="00722AEE"/>
    <w:rsid w:val="00722D77"/>
    <w:rsid w:val="0072363D"/>
    <w:rsid w:val="00723CD5"/>
    <w:rsid w:val="00724E67"/>
    <w:rsid w:val="0073228F"/>
    <w:rsid w:val="00732A74"/>
    <w:rsid w:val="00732B3C"/>
    <w:rsid w:val="00733864"/>
    <w:rsid w:val="00734B4A"/>
    <w:rsid w:val="007353D6"/>
    <w:rsid w:val="00735C4D"/>
    <w:rsid w:val="00735EC1"/>
    <w:rsid w:val="00736993"/>
    <w:rsid w:val="007403C5"/>
    <w:rsid w:val="007439C6"/>
    <w:rsid w:val="00743D52"/>
    <w:rsid w:val="0074445A"/>
    <w:rsid w:val="00744C19"/>
    <w:rsid w:val="00746F2D"/>
    <w:rsid w:val="00751400"/>
    <w:rsid w:val="0075207F"/>
    <w:rsid w:val="0075292D"/>
    <w:rsid w:val="0075382B"/>
    <w:rsid w:val="00753B47"/>
    <w:rsid w:val="00753DF0"/>
    <w:rsid w:val="0075454A"/>
    <w:rsid w:val="0075546D"/>
    <w:rsid w:val="00757BAC"/>
    <w:rsid w:val="00757DAB"/>
    <w:rsid w:val="007600FF"/>
    <w:rsid w:val="00761CDC"/>
    <w:rsid w:val="0076211A"/>
    <w:rsid w:val="00763437"/>
    <w:rsid w:val="00764EA9"/>
    <w:rsid w:val="00765826"/>
    <w:rsid w:val="00766624"/>
    <w:rsid w:val="0076690B"/>
    <w:rsid w:val="00770320"/>
    <w:rsid w:val="00770BA7"/>
    <w:rsid w:val="00771644"/>
    <w:rsid w:val="00771782"/>
    <w:rsid w:val="00773405"/>
    <w:rsid w:val="00773EA6"/>
    <w:rsid w:val="0077406B"/>
    <w:rsid w:val="0077564E"/>
    <w:rsid w:val="00776511"/>
    <w:rsid w:val="00776570"/>
    <w:rsid w:val="007768C0"/>
    <w:rsid w:val="007778D0"/>
    <w:rsid w:val="00777CD1"/>
    <w:rsid w:val="00780903"/>
    <w:rsid w:val="007818DC"/>
    <w:rsid w:val="00781C9B"/>
    <w:rsid w:val="007828E5"/>
    <w:rsid w:val="007837E4"/>
    <w:rsid w:val="00783ADE"/>
    <w:rsid w:val="0079091C"/>
    <w:rsid w:val="00790B91"/>
    <w:rsid w:val="00795EB2"/>
    <w:rsid w:val="0079650B"/>
    <w:rsid w:val="007973BD"/>
    <w:rsid w:val="007A18F7"/>
    <w:rsid w:val="007A5DC3"/>
    <w:rsid w:val="007A5E8E"/>
    <w:rsid w:val="007B1647"/>
    <w:rsid w:val="007B2F5F"/>
    <w:rsid w:val="007B4238"/>
    <w:rsid w:val="007B750B"/>
    <w:rsid w:val="007C0D24"/>
    <w:rsid w:val="007C2B16"/>
    <w:rsid w:val="007C5849"/>
    <w:rsid w:val="007C5E84"/>
    <w:rsid w:val="007D0490"/>
    <w:rsid w:val="007D1DE7"/>
    <w:rsid w:val="007D2D16"/>
    <w:rsid w:val="007D40E9"/>
    <w:rsid w:val="007D4F47"/>
    <w:rsid w:val="007D5720"/>
    <w:rsid w:val="007D7B7A"/>
    <w:rsid w:val="007D7E55"/>
    <w:rsid w:val="007E01BA"/>
    <w:rsid w:val="007E0AA7"/>
    <w:rsid w:val="007E1551"/>
    <w:rsid w:val="007E2CDC"/>
    <w:rsid w:val="007E32C4"/>
    <w:rsid w:val="007E3348"/>
    <w:rsid w:val="007E71F9"/>
    <w:rsid w:val="007E75B4"/>
    <w:rsid w:val="007F090A"/>
    <w:rsid w:val="007F1E41"/>
    <w:rsid w:val="007F202E"/>
    <w:rsid w:val="007F3DC4"/>
    <w:rsid w:val="007F3E1E"/>
    <w:rsid w:val="007F58E0"/>
    <w:rsid w:val="007F6A48"/>
    <w:rsid w:val="00800737"/>
    <w:rsid w:val="008007E2"/>
    <w:rsid w:val="008015F0"/>
    <w:rsid w:val="00801DF2"/>
    <w:rsid w:val="0080344B"/>
    <w:rsid w:val="0080355C"/>
    <w:rsid w:val="008061CC"/>
    <w:rsid w:val="00806779"/>
    <w:rsid w:val="00806ACF"/>
    <w:rsid w:val="008079EC"/>
    <w:rsid w:val="0081075E"/>
    <w:rsid w:val="00811053"/>
    <w:rsid w:val="00812054"/>
    <w:rsid w:val="00813160"/>
    <w:rsid w:val="00813792"/>
    <w:rsid w:val="00813A9B"/>
    <w:rsid w:val="00813B92"/>
    <w:rsid w:val="008148C6"/>
    <w:rsid w:val="008169B3"/>
    <w:rsid w:val="0081707E"/>
    <w:rsid w:val="0081708D"/>
    <w:rsid w:val="0082139F"/>
    <w:rsid w:val="0082160C"/>
    <w:rsid w:val="00822060"/>
    <w:rsid w:val="008221D1"/>
    <w:rsid w:val="00822889"/>
    <w:rsid w:val="00822982"/>
    <w:rsid w:val="008232FB"/>
    <w:rsid w:val="00823DDE"/>
    <w:rsid w:val="00823FB9"/>
    <w:rsid w:val="008240F1"/>
    <w:rsid w:val="00825E51"/>
    <w:rsid w:val="00827945"/>
    <w:rsid w:val="00830990"/>
    <w:rsid w:val="00833693"/>
    <w:rsid w:val="00833967"/>
    <w:rsid w:val="00836719"/>
    <w:rsid w:val="00836747"/>
    <w:rsid w:val="008369CA"/>
    <w:rsid w:val="008369D4"/>
    <w:rsid w:val="0083716B"/>
    <w:rsid w:val="00840CBD"/>
    <w:rsid w:val="00841C97"/>
    <w:rsid w:val="0084228E"/>
    <w:rsid w:val="00842F18"/>
    <w:rsid w:val="0084305E"/>
    <w:rsid w:val="00843A65"/>
    <w:rsid w:val="00844324"/>
    <w:rsid w:val="00845179"/>
    <w:rsid w:val="008501A0"/>
    <w:rsid w:val="008519A8"/>
    <w:rsid w:val="00851ABD"/>
    <w:rsid w:val="008532B8"/>
    <w:rsid w:val="00853F6A"/>
    <w:rsid w:val="00855148"/>
    <w:rsid w:val="008552F5"/>
    <w:rsid w:val="0085651D"/>
    <w:rsid w:val="008568BA"/>
    <w:rsid w:val="00857508"/>
    <w:rsid w:val="008575D1"/>
    <w:rsid w:val="0086069F"/>
    <w:rsid w:val="0086087F"/>
    <w:rsid w:val="0086088C"/>
    <w:rsid w:val="00861B05"/>
    <w:rsid w:val="00863110"/>
    <w:rsid w:val="008631F5"/>
    <w:rsid w:val="00863E78"/>
    <w:rsid w:val="008641AF"/>
    <w:rsid w:val="0086458F"/>
    <w:rsid w:val="00864746"/>
    <w:rsid w:val="00867BA4"/>
    <w:rsid w:val="00867ED4"/>
    <w:rsid w:val="00872816"/>
    <w:rsid w:val="00872BA4"/>
    <w:rsid w:val="00874D4B"/>
    <w:rsid w:val="00874E12"/>
    <w:rsid w:val="008750D2"/>
    <w:rsid w:val="00877497"/>
    <w:rsid w:val="00881372"/>
    <w:rsid w:val="00881458"/>
    <w:rsid w:val="00885F53"/>
    <w:rsid w:val="00887E50"/>
    <w:rsid w:val="00890C8D"/>
    <w:rsid w:val="008931A1"/>
    <w:rsid w:val="00893B2D"/>
    <w:rsid w:val="00896040"/>
    <w:rsid w:val="00896AC2"/>
    <w:rsid w:val="00897C93"/>
    <w:rsid w:val="008A13B5"/>
    <w:rsid w:val="008A43EC"/>
    <w:rsid w:val="008A4B2C"/>
    <w:rsid w:val="008A6F42"/>
    <w:rsid w:val="008B062E"/>
    <w:rsid w:val="008B0EC1"/>
    <w:rsid w:val="008B1D24"/>
    <w:rsid w:val="008B2FB1"/>
    <w:rsid w:val="008B376C"/>
    <w:rsid w:val="008B3BC9"/>
    <w:rsid w:val="008B496D"/>
    <w:rsid w:val="008B6252"/>
    <w:rsid w:val="008B632B"/>
    <w:rsid w:val="008B6770"/>
    <w:rsid w:val="008B7890"/>
    <w:rsid w:val="008B7D22"/>
    <w:rsid w:val="008C2A64"/>
    <w:rsid w:val="008C2B57"/>
    <w:rsid w:val="008C418F"/>
    <w:rsid w:val="008C7E01"/>
    <w:rsid w:val="008D0813"/>
    <w:rsid w:val="008D1710"/>
    <w:rsid w:val="008D31FD"/>
    <w:rsid w:val="008D45F0"/>
    <w:rsid w:val="008D4B99"/>
    <w:rsid w:val="008D4D0F"/>
    <w:rsid w:val="008D616E"/>
    <w:rsid w:val="008D61F6"/>
    <w:rsid w:val="008D6F6E"/>
    <w:rsid w:val="008E12F2"/>
    <w:rsid w:val="008E226E"/>
    <w:rsid w:val="008E33EA"/>
    <w:rsid w:val="008E4DB0"/>
    <w:rsid w:val="008E5278"/>
    <w:rsid w:val="008E5F1E"/>
    <w:rsid w:val="008E66E3"/>
    <w:rsid w:val="008E76F8"/>
    <w:rsid w:val="008E7F40"/>
    <w:rsid w:val="008F0802"/>
    <w:rsid w:val="008F0D0E"/>
    <w:rsid w:val="008F0F3F"/>
    <w:rsid w:val="008F2252"/>
    <w:rsid w:val="008F2556"/>
    <w:rsid w:val="008F2810"/>
    <w:rsid w:val="008F2C22"/>
    <w:rsid w:val="008F2F0C"/>
    <w:rsid w:val="008F35F7"/>
    <w:rsid w:val="008F4289"/>
    <w:rsid w:val="008F4BFE"/>
    <w:rsid w:val="008F5CDC"/>
    <w:rsid w:val="008F6358"/>
    <w:rsid w:val="008F64B9"/>
    <w:rsid w:val="009007F2"/>
    <w:rsid w:val="00900CA0"/>
    <w:rsid w:val="00902F35"/>
    <w:rsid w:val="00904113"/>
    <w:rsid w:val="00904678"/>
    <w:rsid w:val="00905D7B"/>
    <w:rsid w:val="00907015"/>
    <w:rsid w:val="009101E1"/>
    <w:rsid w:val="0091100F"/>
    <w:rsid w:val="009118CF"/>
    <w:rsid w:val="009124F4"/>
    <w:rsid w:val="009127BF"/>
    <w:rsid w:val="0091286F"/>
    <w:rsid w:val="00914154"/>
    <w:rsid w:val="009142E5"/>
    <w:rsid w:val="009157E7"/>
    <w:rsid w:val="009173AA"/>
    <w:rsid w:val="00917554"/>
    <w:rsid w:val="00921501"/>
    <w:rsid w:val="009220D5"/>
    <w:rsid w:val="0092336D"/>
    <w:rsid w:val="00923419"/>
    <w:rsid w:val="00924E0A"/>
    <w:rsid w:val="009252F2"/>
    <w:rsid w:val="00926013"/>
    <w:rsid w:val="009261D6"/>
    <w:rsid w:val="00926689"/>
    <w:rsid w:val="00926769"/>
    <w:rsid w:val="009307A7"/>
    <w:rsid w:val="00930FE4"/>
    <w:rsid w:val="00931A4A"/>
    <w:rsid w:val="0093295C"/>
    <w:rsid w:val="00933C6E"/>
    <w:rsid w:val="00934C2C"/>
    <w:rsid w:val="00934D8A"/>
    <w:rsid w:val="009355AB"/>
    <w:rsid w:val="00936CFA"/>
    <w:rsid w:val="00937647"/>
    <w:rsid w:val="00940700"/>
    <w:rsid w:val="009412D1"/>
    <w:rsid w:val="00942126"/>
    <w:rsid w:val="00942500"/>
    <w:rsid w:val="00944A76"/>
    <w:rsid w:val="009454A7"/>
    <w:rsid w:val="00946AFF"/>
    <w:rsid w:val="00947573"/>
    <w:rsid w:val="00947912"/>
    <w:rsid w:val="00947A39"/>
    <w:rsid w:val="009500AC"/>
    <w:rsid w:val="0095558F"/>
    <w:rsid w:val="009558C0"/>
    <w:rsid w:val="009568B6"/>
    <w:rsid w:val="00956E99"/>
    <w:rsid w:val="00957C48"/>
    <w:rsid w:val="0096100E"/>
    <w:rsid w:val="0096102C"/>
    <w:rsid w:val="009610E7"/>
    <w:rsid w:val="00961201"/>
    <w:rsid w:val="009616D3"/>
    <w:rsid w:val="009620EA"/>
    <w:rsid w:val="0096348E"/>
    <w:rsid w:val="00963972"/>
    <w:rsid w:val="009640DB"/>
    <w:rsid w:val="00964E2D"/>
    <w:rsid w:val="00971601"/>
    <w:rsid w:val="00971A0A"/>
    <w:rsid w:val="00972776"/>
    <w:rsid w:val="00972938"/>
    <w:rsid w:val="00974AEA"/>
    <w:rsid w:val="00976FCA"/>
    <w:rsid w:val="009775EC"/>
    <w:rsid w:val="00984B77"/>
    <w:rsid w:val="00984FAA"/>
    <w:rsid w:val="00985925"/>
    <w:rsid w:val="00987C9E"/>
    <w:rsid w:val="009911AC"/>
    <w:rsid w:val="00995066"/>
    <w:rsid w:val="009955FF"/>
    <w:rsid w:val="00996ED1"/>
    <w:rsid w:val="00997377"/>
    <w:rsid w:val="009A06FB"/>
    <w:rsid w:val="009A14DC"/>
    <w:rsid w:val="009A14EA"/>
    <w:rsid w:val="009A191B"/>
    <w:rsid w:val="009A1D49"/>
    <w:rsid w:val="009A57C2"/>
    <w:rsid w:val="009A6E62"/>
    <w:rsid w:val="009A74CF"/>
    <w:rsid w:val="009A7526"/>
    <w:rsid w:val="009A7BA5"/>
    <w:rsid w:val="009A7F27"/>
    <w:rsid w:val="009B10DD"/>
    <w:rsid w:val="009B2315"/>
    <w:rsid w:val="009B2D73"/>
    <w:rsid w:val="009B3B92"/>
    <w:rsid w:val="009B49C3"/>
    <w:rsid w:val="009B5ABD"/>
    <w:rsid w:val="009B5D9C"/>
    <w:rsid w:val="009B651F"/>
    <w:rsid w:val="009B7A53"/>
    <w:rsid w:val="009B7B22"/>
    <w:rsid w:val="009B7E1E"/>
    <w:rsid w:val="009C04BE"/>
    <w:rsid w:val="009C09E5"/>
    <w:rsid w:val="009C1EBE"/>
    <w:rsid w:val="009C2700"/>
    <w:rsid w:val="009C30C1"/>
    <w:rsid w:val="009C4091"/>
    <w:rsid w:val="009C54FB"/>
    <w:rsid w:val="009C58D2"/>
    <w:rsid w:val="009D0DB3"/>
    <w:rsid w:val="009D111A"/>
    <w:rsid w:val="009D2F80"/>
    <w:rsid w:val="009D3000"/>
    <w:rsid w:val="009D3B3E"/>
    <w:rsid w:val="009D466C"/>
    <w:rsid w:val="009D576A"/>
    <w:rsid w:val="009D60AC"/>
    <w:rsid w:val="009D7212"/>
    <w:rsid w:val="009D7570"/>
    <w:rsid w:val="009E0B4D"/>
    <w:rsid w:val="009E273C"/>
    <w:rsid w:val="009E3A5F"/>
    <w:rsid w:val="009E3CAA"/>
    <w:rsid w:val="009E3DDF"/>
    <w:rsid w:val="009E437C"/>
    <w:rsid w:val="009E4749"/>
    <w:rsid w:val="009E5BC2"/>
    <w:rsid w:val="009E5FFD"/>
    <w:rsid w:val="009E6A97"/>
    <w:rsid w:val="009E72E6"/>
    <w:rsid w:val="009E7516"/>
    <w:rsid w:val="009F0B37"/>
    <w:rsid w:val="009F0D7C"/>
    <w:rsid w:val="009F0EDE"/>
    <w:rsid w:val="009F237F"/>
    <w:rsid w:val="009F45D2"/>
    <w:rsid w:val="009F5A73"/>
    <w:rsid w:val="009F66FD"/>
    <w:rsid w:val="009F6972"/>
    <w:rsid w:val="009F735C"/>
    <w:rsid w:val="00A00757"/>
    <w:rsid w:val="00A00D3A"/>
    <w:rsid w:val="00A01DB7"/>
    <w:rsid w:val="00A028D8"/>
    <w:rsid w:val="00A04A30"/>
    <w:rsid w:val="00A055E2"/>
    <w:rsid w:val="00A0640D"/>
    <w:rsid w:val="00A07908"/>
    <w:rsid w:val="00A10C85"/>
    <w:rsid w:val="00A12323"/>
    <w:rsid w:val="00A12CA1"/>
    <w:rsid w:val="00A12D91"/>
    <w:rsid w:val="00A14E5E"/>
    <w:rsid w:val="00A1570C"/>
    <w:rsid w:val="00A15FE2"/>
    <w:rsid w:val="00A163C3"/>
    <w:rsid w:val="00A16881"/>
    <w:rsid w:val="00A211C4"/>
    <w:rsid w:val="00A2139B"/>
    <w:rsid w:val="00A226BF"/>
    <w:rsid w:val="00A22AFD"/>
    <w:rsid w:val="00A22EBB"/>
    <w:rsid w:val="00A252D7"/>
    <w:rsid w:val="00A2554C"/>
    <w:rsid w:val="00A27972"/>
    <w:rsid w:val="00A31067"/>
    <w:rsid w:val="00A311F2"/>
    <w:rsid w:val="00A31ED8"/>
    <w:rsid w:val="00A331D3"/>
    <w:rsid w:val="00A37D15"/>
    <w:rsid w:val="00A43809"/>
    <w:rsid w:val="00A44509"/>
    <w:rsid w:val="00A46C9B"/>
    <w:rsid w:val="00A47E00"/>
    <w:rsid w:val="00A50FDA"/>
    <w:rsid w:val="00A50FE3"/>
    <w:rsid w:val="00A5171A"/>
    <w:rsid w:val="00A52551"/>
    <w:rsid w:val="00A551B9"/>
    <w:rsid w:val="00A55580"/>
    <w:rsid w:val="00A55912"/>
    <w:rsid w:val="00A56B8D"/>
    <w:rsid w:val="00A56E8A"/>
    <w:rsid w:val="00A57122"/>
    <w:rsid w:val="00A5765B"/>
    <w:rsid w:val="00A57DFA"/>
    <w:rsid w:val="00A60089"/>
    <w:rsid w:val="00A6186D"/>
    <w:rsid w:val="00A61D5F"/>
    <w:rsid w:val="00A64919"/>
    <w:rsid w:val="00A64DA1"/>
    <w:rsid w:val="00A64F44"/>
    <w:rsid w:val="00A6778F"/>
    <w:rsid w:val="00A67B56"/>
    <w:rsid w:val="00A7079C"/>
    <w:rsid w:val="00A7171B"/>
    <w:rsid w:val="00A72263"/>
    <w:rsid w:val="00A7259D"/>
    <w:rsid w:val="00A72BB6"/>
    <w:rsid w:val="00A74596"/>
    <w:rsid w:val="00A75468"/>
    <w:rsid w:val="00A75542"/>
    <w:rsid w:val="00A7571D"/>
    <w:rsid w:val="00A77B79"/>
    <w:rsid w:val="00A80537"/>
    <w:rsid w:val="00A817A3"/>
    <w:rsid w:val="00A84331"/>
    <w:rsid w:val="00A84B74"/>
    <w:rsid w:val="00A86354"/>
    <w:rsid w:val="00A90095"/>
    <w:rsid w:val="00A901F5"/>
    <w:rsid w:val="00A902F3"/>
    <w:rsid w:val="00A909D2"/>
    <w:rsid w:val="00A90D7B"/>
    <w:rsid w:val="00A91992"/>
    <w:rsid w:val="00A92B3B"/>
    <w:rsid w:val="00A94626"/>
    <w:rsid w:val="00A95325"/>
    <w:rsid w:val="00A956E3"/>
    <w:rsid w:val="00A956EA"/>
    <w:rsid w:val="00A962D7"/>
    <w:rsid w:val="00A96316"/>
    <w:rsid w:val="00A96C10"/>
    <w:rsid w:val="00A97C72"/>
    <w:rsid w:val="00AA0081"/>
    <w:rsid w:val="00AA1398"/>
    <w:rsid w:val="00AA1B28"/>
    <w:rsid w:val="00AA25AF"/>
    <w:rsid w:val="00AA25D1"/>
    <w:rsid w:val="00AA3FCA"/>
    <w:rsid w:val="00AA4664"/>
    <w:rsid w:val="00AA57AA"/>
    <w:rsid w:val="00AB033A"/>
    <w:rsid w:val="00AB1CFD"/>
    <w:rsid w:val="00AB391A"/>
    <w:rsid w:val="00AB3D13"/>
    <w:rsid w:val="00AB41B3"/>
    <w:rsid w:val="00AB4CD0"/>
    <w:rsid w:val="00AB5EE8"/>
    <w:rsid w:val="00AB65D1"/>
    <w:rsid w:val="00AB6C79"/>
    <w:rsid w:val="00AB6FA2"/>
    <w:rsid w:val="00AB7410"/>
    <w:rsid w:val="00AC0346"/>
    <w:rsid w:val="00AC1FEF"/>
    <w:rsid w:val="00AC37C5"/>
    <w:rsid w:val="00AC3A77"/>
    <w:rsid w:val="00AC4515"/>
    <w:rsid w:val="00AC5EF0"/>
    <w:rsid w:val="00AC6B72"/>
    <w:rsid w:val="00AC6D33"/>
    <w:rsid w:val="00AD42C9"/>
    <w:rsid w:val="00AD6B5D"/>
    <w:rsid w:val="00AE0643"/>
    <w:rsid w:val="00AE1069"/>
    <w:rsid w:val="00AE34AC"/>
    <w:rsid w:val="00AE3920"/>
    <w:rsid w:val="00AE396F"/>
    <w:rsid w:val="00AE5B4C"/>
    <w:rsid w:val="00AE67EC"/>
    <w:rsid w:val="00AE6928"/>
    <w:rsid w:val="00AF10EB"/>
    <w:rsid w:val="00AF2547"/>
    <w:rsid w:val="00AF3FC7"/>
    <w:rsid w:val="00AF4B03"/>
    <w:rsid w:val="00AF4E3F"/>
    <w:rsid w:val="00AF62AC"/>
    <w:rsid w:val="00B00BA1"/>
    <w:rsid w:val="00B023F4"/>
    <w:rsid w:val="00B02923"/>
    <w:rsid w:val="00B02F66"/>
    <w:rsid w:val="00B03850"/>
    <w:rsid w:val="00B03AF3"/>
    <w:rsid w:val="00B04491"/>
    <w:rsid w:val="00B06065"/>
    <w:rsid w:val="00B06A6E"/>
    <w:rsid w:val="00B07477"/>
    <w:rsid w:val="00B11150"/>
    <w:rsid w:val="00B1158B"/>
    <w:rsid w:val="00B11F26"/>
    <w:rsid w:val="00B13FBE"/>
    <w:rsid w:val="00B140D9"/>
    <w:rsid w:val="00B14549"/>
    <w:rsid w:val="00B1496C"/>
    <w:rsid w:val="00B1527B"/>
    <w:rsid w:val="00B21134"/>
    <w:rsid w:val="00B2173A"/>
    <w:rsid w:val="00B22C19"/>
    <w:rsid w:val="00B23969"/>
    <w:rsid w:val="00B252F3"/>
    <w:rsid w:val="00B26E47"/>
    <w:rsid w:val="00B32AAB"/>
    <w:rsid w:val="00B32FD9"/>
    <w:rsid w:val="00B33339"/>
    <w:rsid w:val="00B34A11"/>
    <w:rsid w:val="00B35C26"/>
    <w:rsid w:val="00B3637F"/>
    <w:rsid w:val="00B3701D"/>
    <w:rsid w:val="00B371B9"/>
    <w:rsid w:val="00B40AF1"/>
    <w:rsid w:val="00B4129B"/>
    <w:rsid w:val="00B417F9"/>
    <w:rsid w:val="00B42386"/>
    <w:rsid w:val="00B4268A"/>
    <w:rsid w:val="00B435EE"/>
    <w:rsid w:val="00B43977"/>
    <w:rsid w:val="00B44247"/>
    <w:rsid w:val="00B44930"/>
    <w:rsid w:val="00B44D25"/>
    <w:rsid w:val="00B46457"/>
    <w:rsid w:val="00B46B9D"/>
    <w:rsid w:val="00B46BAC"/>
    <w:rsid w:val="00B4786B"/>
    <w:rsid w:val="00B51736"/>
    <w:rsid w:val="00B51E60"/>
    <w:rsid w:val="00B543D6"/>
    <w:rsid w:val="00B54CAE"/>
    <w:rsid w:val="00B5668C"/>
    <w:rsid w:val="00B56C2B"/>
    <w:rsid w:val="00B60187"/>
    <w:rsid w:val="00B60321"/>
    <w:rsid w:val="00B606F4"/>
    <w:rsid w:val="00B60BFA"/>
    <w:rsid w:val="00B63F08"/>
    <w:rsid w:val="00B65B3B"/>
    <w:rsid w:val="00B66BDE"/>
    <w:rsid w:val="00B703F3"/>
    <w:rsid w:val="00B70FBD"/>
    <w:rsid w:val="00B71B1F"/>
    <w:rsid w:val="00B72866"/>
    <w:rsid w:val="00B73730"/>
    <w:rsid w:val="00B73C45"/>
    <w:rsid w:val="00B74045"/>
    <w:rsid w:val="00B7440C"/>
    <w:rsid w:val="00B759F3"/>
    <w:rsid w:val="00B75ADA"/>
    <w:rsid w:val="00B75CB1"/>
    <w:rsid w:val="00B75E00"/>
    <w:rsid w:val="00B75F1B"/>
    <w:rsid w:val="00B76A24"/>
    <w:rsid w:val="00B774F9"/>
    <w:rsid w:val="00B8056B"/>
    <w:rsid w:val="00B80E5C"/>
    <w:rsid w:val="00B81268"/>
    <w:rsid w:val="00B815BC"/>
    <w:rsid w:val="00B81A6E"/>
    <w:rsid w:val="00B81A9C"/>
    <w:rsid w:val="00B85AE2"/>
    <w:rsid w:val="00B8769C"/>
    <w:rsid w:val="00B912D9"/>
    <w:rsid w:val="00B91BF1"/>
    <w:rsid w:val="00B935A6"/>
    <w:rsid w:val="00B937C0"/>
    <w:rsid w:val="00B938B4"/>
    <w:rsid w:val="00B9541D"/>
    <w:rsid w:val="00B9670F"/>
    <w:rsid w:val="00B97573"/>
    <w:rsid w:val="00BA09FA"/>
    <w:rsid w:val="00BA0B94"/>
    <w:rsid w:val="00BA247B"/>
    <w:rsid w:val="00BA2E29"/>
    <w:rsid w:val="00BA4060"/>
    <w:rsid w:val="00BA5110"/>
    <w:rsid w:val="00BA5601"/>
    <w:rsid w:val="00BA5A59"/>
    <w:rsid w:val="00BA6887"/>
    <w:rsid w:val="00BA7DF8"/>
    <w:rsid w:val="00BA7E4E"/>
    <w:rsid w:val="00BB0D36"/>
    <w:rsid w:val="00BB11C8"/>
    <w:rsid w:val="00BB24AC"/>
    <w:rsid w:val="00BB60F9"/>
    <w:rsid w:val="00BB66E2"/>
    <w:rsid w:val="00BB6A0D"/>
    <w:rsid w:val="00BB6D78"/>
    <w:rsid w:val="00BC09D3"/>
    <w:rsid w:val="00BC108E"/>
    <w:rsid w:val="00BC23CB"/>
    <w:rsid w:val="00BC2AA5"/>
    <w:rsid w:val="00BC321D"/>
    <w:rsid w:val="00BC3BA0"/>
    <w:rsid w:val="00BC5457"/>
    <w:rsid w:val="00BC772C"/>
    <w:rsid w:val="00BD41C5"/>
    <w:rsid w:val="00BD4A72"/>
    <w:rsid w:val="00BD5C84"/>
    <w:rsid w:val="00BD639A"/>
    <w:rsid w:val="00BD66E9"/>
    <w:rsid w:val="00BD7258"/>
    <w:rsid w:val="00BD7437"/>
    <w:rsid w:val="00BD7958"/>
    <w:rsid w:val="00BE0D79"/>
    <w:rsid w:val="00BE289B"/>
    <w:rsid w:val="00BE2D22"/>
    <w:rsid w:val="00BE3005"/>
    <w:rsid w:val="00BE365F"/>
    <w:rsid w:val="00BE6062"/>
    <w:rsid w:val="00BE6C3A"/>
    <w:rsid w:val="00BE6FA0"/>
    <w:rsid w:val="00BF085D"/>
    <w:rsid w:val="00BF0BA2"/>
    <w:rsid w:val="00BF1776"/>
    <w:rsid w:val="00BF2101"/>
    <w:rsid w:val="00BF247E"/>
    <w:rsid w:val="00BF2760"/>
    <w:rsid w:val="00BF38F7"/>
    <w:rsid w:val="00BF3D3E"/>
    <w:rsid w:val="00BF3EFD"/>
    <w:rsid w:val="00BF5FE4"/>
    <w:rsid w:val="00BF66CC"/>
    <w:rsid w:val="00BF6A99"/>
    <w:rsid w:val="00C007D1"/>
    <w:rsid w:val="00C01025"/>
    <w:rsid w:val="00C0104D"/>
    <w:rsid w:val="00C01851"/>
    <w:rsid w:val="00C02BE9"/>
    <w:rsid w:val="00C02F0E"/>
    <w:rsid w:val="00C035F6"/>
    <w:rsid w:val="00C03B9D"/>
    <w:rsid w:val="00C0555C"/>
    <w:rsid w:val="00C0625F"/>
    <w:rsid w:val="00C10541"/>
    <w:rsid w:val="00C13767"/>
    <w:rsid w:val="00C15777"/>
    <w:rsid w:val="00C159BF"/>
    <w:rsid w:val="00C1710D"/>
    <w:rsid w:val="00C174AD"/>
    <w:rsid w:val="00C17586"/>
    <w:rsid w:val="00C2076B"/>
    <w:rsid w:val="00C23236"/>
    <w:rsid w:val="00C23E0A"/>
    <w:rsid w:val="00C24351"/>
    <w:rsid w:val="00C25D8F"/>
    <w:rsid w:val="00C27406"/>
    <w:rsid w:val="00C27A8E"/>
    <w:rsid w:val="00C30ABF"/>
    <w:rsid w:val="00C3745D"/>
    <w:rsid w:val="00C40D1E"/>
    <w:rsid w:val="00C41290"/>
    <w:rsid w:val="00C42FC9"/>
    <w:rsid w:val="00C4531D"/>
    <w:rsid w:val="00C464EA"/>
    <w:rsid w:val="00C4784D"/>
    <w:rsid w:val="00C51126"/>
    <w:rsid w:val="00C51F7A"/>
    <w:rsid w:val="00C526EA"/>
    <w:rsid w:val="00C52708"/>
    <w:rsid w:val="00C54114"/>
    <w:rsid w:val="00C54DAA"/>
    <w:rsid w:val="00C56EA1"/>
    <w:rsid w:val="00C57F8C"/>
    <w:rsid w:val="00C62C43"/>
    <w:rsid w:val="00C6322D"/>
    <w:rsid w:val="00C66A3A"/>
    <w:rsid w:val="00C66BF1"/>
    <w:rsid w:val="00C671D1"/>
    <w:rsid w:val="00C70B57"/>
    <w:rsid w:val="00C710FE"/>
    <w:rsid w:val="00C711FA"/>
    <w:rsid w:val="00C71DF0"/>
    <w:rsid w:val="00C768F6"/>
    <w:rsid w:val="00C775FE"/>
    <w:rsid w:val="00C77CA5"/>
    <w:rsid w:val="00C80870"/>
    <w:rsid w:val="00C80F73"/>
    <w:rsid w:val="00C81D77"/>
    <w:rsid w:val="00C81E73"/>
    <w:rsid w:val="00C82DB5"/>
    <w:rsid w:val="00C8462E"/>
    <w:rsid w:val="00C84D68"/>
    <w:rsid w:val="00C84E96"/>
    <w:rsid w:val="00C868D9"/>
    <w:rsid w:val="00C87663"/>
    <w:rsid w:val="00C91D10"/>
    <w:rsid w:val="00C93226"/>
    <w:rsid w:val="00C93DC9"/>
    <w:rsid w:val="00C957AE"/>
    <w:rsid w:val="00C97486"/>
    <w:rsid w:val="00CA1D06"/>
    <w:rsid w:val="00CA7233"/>
    <w:rsid w:val="00CA78AC"/>
    <w:rsid w:val="00CB0C49"/>
    <w:rsid w:val="00CB5188"/>
    <w:rsid w:val="00CB58B9"/>
    <w:rsid w:val="00CC059F"/>
    <w:rsid w:val="00CC11B0"/>
    <w:rsid w:val="00CC21C4"/>
    <w:rsid w:val="00CC2A9F"/>
    <w:rsid w:val="00CC40A9"/>
    <w:rsid w:val="00CC43D0"/>
    <w:rsid w:val="00CC45E8"/>
    <w:rsid w:val="00CC466A"/>
    <w:rsid w:val="00CC46DD"/>
    <w:rsid w:val="00CC4E33"/>
    <w:rsid w:val="00CC786D"/>
    <w:rsid w:val="00CD11D5"/>
    <w:rsid w:val="00CD251B"/>
    <w:rsid w:val="00CD2AFF"/>
    <w:rsid w:val="00CD2D24"/>
    <w:rsid w:val="00CD3123"/>
    <w:rsid w:val="00CD5B08"/>
    <w:rsid w:val="00CD5F3B"/>
    <w:rsid w:val="00CD64C0"/>
    <w:rsid w:val="00CD65FC"/>
    <w:rsid w:val="00CD6FB6"/>
    <w:rsid w:val="00CD72BA"/>
    <w:rsid w:val="00CD7896"/>
    <w:rsid w:val="00CE016A"/>
    <w:rsid w:val="00CE1B46"/>
    <w:rsid w:val="00CE3852"/>
    <w:rsid w:val="00CE40C0"/>
    <w:rsid w:val="00CE5010"/>
    <w:rsid w:val="00CE5FEB"/>
    <w:rsid w:val="00CE6661"/>
    <w:rsid w:val="00CF0D22"/>
    <w:rsid w:val="00CF1AB9"/>
    <w:rsid w:val="00CF31A5"/>
    <w:rsid w:val="00CF48A8"/>
    <w:rsid w:val="00CF5E5E"/>
    <w:rsid w:val="00CF60A1"/>
    <w:rsid w:val="00CF6384"/>
    <w:rsid w:val="00D01680"/>
    <w:rsid w:val="00D017F3"/>
    <w:rsid w:val="00D047BA"/>
    <w:rsid w:val="00D04858"/>
    <w:rsid w:val="00D04987"/>
    <w:rsid w:val="00D06DA5"/>
    <w:rsid w:val="00D0702D"/>
    <w:rsid w:val="00D07D5C"/>
    <w:rsid w:val="00D11CB3"/>
    <w:rsid w:val="00D1363C"/>
    <w:rsid w:val="00D14C7E"/>
    <w:rsid w:val="00D14D2E"/>
    <w:rsid w:val="00D1542D"/>
    <w:rsid w:val="00D17C6E"/>
    <w:rsid w:val="00D17F9F"/>
    <w:rsid w:val="00D21D0A"/>
    <w:rsid w:val="00D23C0F"/>
    <w:rsid w:val="00D23C57"/>
    <w:rsid w:val="00D24D5A"/>
    <w:rsid w:val="00D250A0"/>
    <w:rsid w:val="00D30A46"/>
    <w:rsid w:val="00D30AA2"/>
    <w:rsid w:val="00D31501"/>
    <w:rsid w:val="00D31582"/>
    <w:rsid w:val="00D32362"/>
    <w:rsid w:val="00D3290C"/>
    <w:rsid w:val="00D33078"/>
    <w:rsid w:val="00D36A3E"/>
    <w:rsid w:val="00D40435"/>
    <w:rsid w:val="00D41FC5"/>
    <w:rsid w:val="00D424AA"/>
    <w:rsid w:val="00D42839"/>
    <w:rsid w:val="00D43CB7"/>
    <w:rsid w:val="00D43DA5"/>
    <w:rsid w:val="00D43DE4"/>
    <w:rsid w:val="00D45D99"/>
    <w:rsid w:val="00D466A0"/>
    <w:rsid w:val="00D501FA"/>
    <w:rsid w:val="00D5020A"/>
    <w:rsid w:val="00D50449"/>
    <w:rsid w:val="00D522F1"/>
    <w:rsid w:val="00D531BD"/>
    <w:rsid w:val="00D5431F"/>
    <w:rsid w:val="00D5543D"/>
    <w:rsid w:val="00D563D4"/>
    <w:rsid w:val="00D575C0"/>
    <w:rsid w:val="00D63209"/>
    <w:rsid w:val="00D633DA"/>
    <w:rsid w:val="00D633F6"/>
    <w:rsid w:val="00D63DBF"/>
    <w:rsid w:val="00D64065"/>
    <w:rsid w:val="00D64539"/>
    <w:rsid w:val="00D65C1F"/>
    <w:rsid w:val="00D702E8"/>
    <w:rsid w:val="00D707D2"/>
    <w:rsid w:val="00D718C6"/>
    <w:rsid w:val="00D74CC7"/>
    <w:rsid w:val="00D75401"/>
    <w:rsid w:val="00D75B60"/>
    <w:rsid w:val="00D75D7F"/>
    <w:rsid w:val="00D767D5"/>
    <w:rsid w:val="00D768D7"/>
    <w:rsid w:val="00D76DF1"/>
    <w:rsid w:val="00D779BE"/>
    <w:rsid w:val="00D80578"/>
    <w:rsid w:val="00D80966"/>
    <w:rsid w:val="00D81F31"/>
    <w:rsid w:val="00D82313"/>
    <w:rsid w:val="00D8253D"/>
    <w:rsid w:val="00D82D11"/>
    <w:rsid w:val="00D85BFC"/>
    <w:rsid w:val="00D85EFF"/>
    <w:rsid w:val="00D860AC"/>
    <w:rsid w:val="00D8648B"/>
    <w:rsid w:val="00D87C80"/>
    <w:rsid w:val="00D907E8"/>
    <w:rsid w:val="00D90AC9"/>
    <w:rsid w:val="00D91B87"/>
    <w:rsid w:val="00D923CE"/>
    <w:rsid w:val="00D93858"/>
    <w:rsid w:val="00D950DC"/>
    <w:rsid w:val="00D953BE"/>
    <w:rsid w:val="00D97A01"/>
    <w:rsid w:val="00DA14CC"/>
    <w:rsid w:val="00DA24FF"/>
    <w:rsid w:val="00DA32AC"/>
    <w:rsid w:val="00DA49D5"/>
    <w:rsid w:val="00DA5316"/>
    <w:rsid w:val="00DA64BF"/>
    <w:rsid w:val="00DA7694"/>
    <w:rsid w:val="00DB04D6"/>
    <w:rsid w:val="00DB0F8A"/>
    <w:rsid w:val="00DB38B3"/>
    <w:rsid w:val="00DB3F8B"/>
    <w:rsid w:val="00DB4B8C"/>
    <w:rsid w:val="00DB4EC5"/>
    <w:rsid w:val="00DB63D6"/>
    <w:rsid w:val="00DB6B40"/>
    <w:rsid w:val="00DB6E2A"/>
    <w:rsid w:val="00DB7D6D"/>
    <w:rsid w:val="00DC077E"/>
    <w:rsid w:val="00DC1C72"/>
    <w:rsid w:val="00DC3903"/>
    <w:rsid w:val="00DC6FCB"/>
    <w:rsid w:val="00DC7AE4"/>
    <w:rsid w:val="00DD0181"/>
    <w:rsid w:val="00DD0D60"/>
    <w:rsid w:val="00DD23CC"/>
    <w:rsid w:val="00DD2693"/>
    <w:rsid w:val="00DD3819"/>
    <w:rsid w:val="00DD6AF6"/>
    <w:rsid w:val="00DD790D"/>
    <w:rsid w:val="00DD79DD"/>
    <w:rsid w:val="00DE00FF"/>
    <w:rsid w:val="00DE116F"/>
    <w:rsid w:val="00DE25D4"/>
    <w:rsid w:val="00DE37A1"/>
    <w:rsid w:val="00DE51C8"/>
    <w:rsid w:val="00DE708B"/>
    <w:rsid w:val="00DF0712"/>
    <w:rsid w:val="00DF1D23"/>
    <w:rsid w:val="00DF1D8A"/>
    <w:rsid w:val="00DF2DAB"/>
    <w:rsid w:val="00DF52D2"/>
    <w:rsid w:val="00DF53A5"/>
    <w:rsid w:val="00DF5E1F"/>
    <w:rsid w:val="00DF6519"/>
    <w:rsid w:val="00DF7AFD"/>
    <w:rsid w:val="00DF7F52"/>
    <w:rsid w:val="00E00B65"/>
    <w:rsid w:val="00E00E6B"/>
    <w:rsid w:val="00E0113B"/>
    <w:rsid w:val="00E01A0A"/>
    <w:rsid w:val="00E02FD0"/>
    <w:rsid w:val="00E03D7A"/>
    <w:rsid w:val="00E048FA"/>
    <w:rsid w:val="00E05222"/>
    <w:rsid w:val="00E05E68"/>
    <w:rsid w:val="00E06F5B"/>
    <w:rsid w:val="00E0705A"/>
    <w:rsid w:val="00E1050C"/>
    <w:rsid w:val="00E11DF2"/>
    <w:rsid w:val="00E12B83"/>
    <w:rsid w:val="00E13731"/>
    <w:rsid w:val="00E13790"/>
    <w:rsid w:val="00E13BF6"/>
    <w:rsid w:val="00E13C94"/>
    <w:rsid w:val="00E15556"/>
    <w:rsid w:val="00E15B8C"/>
    <w:rsid w:val="00E17DD7"/>
    <w:rsid w:val="00E222C4"/>
    <w:rsid w:val="00E245AA"/>
    <w:rsid w:val="00E25985"/>
    <w:rsid w:val="00E26632"/>
    <w:rsid w:val="00E272CB"/>
    <w:rsid w:val="00E307E0"/>
    <w:rsid w:val="00E31609"/>
    <w:rsid w:val="00E33849"/>
    <w:rsid w:val="00E34280"/>
    <w:rsid w:val="00E36983"/>
    <w:rsid w:val="00E3702F"/>
    <w:rsid w:val="00E3734F"/>
    <w:rsid w:val="00E37F4A"/>
    <w:rsid w:val="00E40F3B"/>
    <w:rsid w:val="00E40FE1"/>
    <w:rsid w:val="00E4188A"/>
    <w:rsid w:val="00E41BAF"/>
    <w:rsid w:val="00E41DDE"/>
    <w:rsid w:val="00E430D2"/>
    <w:rsid w:val="00E43A11"/>
    <w:rsid w:val="00E43B51"/>
    <w:rsid w:val="00E45089"/>
    <w:rsid w:val="00E454C3"/>
    <w:rsid w:val="00E45564"/>
    <w:rsid w:val="00E47EAB"/>
    <w:rsid w:val="00E50A5E"/>
    <w:rsid w:val="00E5211A"/>
    <w:rsid w:val="00E52C22"/>
    <w:rsid w:val="00E54F85"/>
    <w:rsid w:val="00E560E1"/>
    <w:rsid w:val="00E5650A"/>
    <w:rsid w:val="00E57739"/>
    <w:rsid w:val="00E6102A"/>
    <w:rsid w:val="00E61F3B"/>
    <w:rsid w:val="00E62560"/>
    <w:rsid w:val="00E627A9"/>
    <w:rsid w:val="00E62A24"/>
    <w:rsid w:val="00E641F6"/>
    <w:rsid w:val="00E6463E"/>
    <w:rsid w:val="00E67AC5"/>
    <w:rsid w:val="00E7056C"/>
    <w:rsid w:val="00E70F63"/>
    <w:rsid w:val="00E74399"/>
    <w:rsid w:val="00E74B13"/>
    <w:rsid w:val="00E74FF7"/>
    <w:rsid w:val="00E76679"/>
    <w:rsid w:val="00E775B4"/>
    <w:rsid w:val="00E81947"/>
    <w:rsid w:val="00E827E8"/>
    <w:rsid w:val="00E8410D"/>
    <w:rsid w:val="00E8443E"/>
    <w:rsid w:val="00E86980"/>
    <w:rsid w:val="00E87879"/>
    <w:rsid w:val="00E90C80"/>
    <w:rsid w:val="00E925E9"/>
    <w:rsid w:val="00E9403B"/>
    <w:rsid w:val="00E95E90"/>
    <w:rsid w:val="00E96536"/>
    <w:rsid w:val="00E96A8C"/>
    <w:rsid w:val="00E96F3E"/>
    <w:rsid w:val="00E97244"/>
    <w:rsid w:val="00E97726"/>
    <w:rsid w:val="00E97D39"/>
    <w:rsid w:val="00EA0DA4"/>
    <w:rsid w:val="00EA1E26"/>
    <w:rsid w:val="00EA2605"/>
    <w:rsid w:val="00EA3A42"/>
    <w:rsid w:val="00EA6582"/>
    <w:rsid w:val="00EA74B2"/>
    <w:rsid w:val="00EA74D9"/>
    <w:rsid w:val="00EB0816"/>
    <w:rsid w:val="00EB0907"/>
    <w:rsid w:val="00EB1FB6"/>
    <w:rsid w:val="00EB2954"/>
    <w:rsid w:val="00EB2BA1"/>
    <w:rsid w:val="00EB3A44"/>
    <w:rsid w:val="00EB4474"/>
    <w:rsid w:val="00EB474B"/>
    <w:rsid w:val="00EB51A1"/>
    <w:rsid w:val="00EB582D"/>
    <w:rsid w:val="00EB5AE2"/>
    <w:rsid w:val="00EB66B4"/>
    <w:rsid w:val="00EB6C15"/>
    <w:rsid w:val="00EC433E"/>
    <w:rsid w:val="00EC4B45"/>
    <w:rsid w:val="00EC54CB"/>
    <w:rsid w:val="00EC564E"/>
    <w:rsid w:val="00EC69DC"/>
    <w:rsid w:val="00ED071C"/>
    <w:rsid w:val="00ED1660"/>
    <w:rsid w:val="00ED1965"/>
    <w:rsid w:val="00ED2438"/>
    <w:rsid w:val="00ED33D6"/>
    <w:rsid w:val="00ED3EC0"/>
    <w:rsid w:val="00ED4BA2"/>
    <w:rsid w:val="00ED5701"/>
    <w:rsid w:val="00ED6A9A"/>
    <w:rsid w:val="00EE02EF"/>
    <w:rsid w:val="00EE174A"/>
    <w:rsid w:val="00EE303D"/>
    <w:rsid w:val="00EE453F"/>
    <w:rsid w:val="00EE4645"/>
    <w:rsid w:val="00EF073B"/>
    <w:rsid w:val="00EF105C"/>
    <w:rsid w:val="00EF15B9"/>
    <w:rsid w:val="00EF1A0C"/>
    <w:rsid w:val="00EF2628"/>
    <w:rsid w:val="00EF30D2"/>
    <w:rsid w:val="00EF37CA"/>
    <w:rsid w:val="00EF4492"/>
    <w:rsid w:val="00EF4BC6"/>
    <w:rsid w:val="00EF5A9A"/>
    <w:rsid w:val="00EF5B6A"/>
    <w:rsid w:val="00EF6227"/>
    <w:rsid w:val="00EF7471"/>
    <w:rsid w:val="00F00A8B"/>
    <w:rsid w:val="00F00AF3"/>
    <w:rsid w:val="00F05A84"/>
    <w:rsid w:val="00F05E63"/>
    <w:rsid w:val="00F06DD7"/>
    <w:rsid w:val="00F07631"/>
    <w:rsid w:val="00F1051E"/>
    <w:rsid w:val="00F11691"/>
    <w:rsid w:val="00F13B44"/>
    <w:rsid w:val="00F13EAF"/>
    <w:rsid w:val="00F15812"/>
    <w:rsid w:val="00F15A4D"/>
    <w:rsid w:val="00F1791B"/>
    <w:rsid w:val="00F20DD9"/>
    <w:rsid w:val="00F21478"/>
    <w:rsid w:val="00F21916"/>
    <w:rsid w:val="00F21E23"/>
    <w:rsid w:val="00F23B6F"/>
    <w:rsid w:val="00F25ABB"/>
    <w:rsid w:val="00F262E4"/>
    <w:rsid w:val="00F265D0"/>
    <w:rsid w:val="00F275AD"/>
    <w:rsid w:val="00F31CF6"/>
    <w:rsid w:val="00F32353"/>
    <w:rsid w:val="00F33CCC"/>
    <w:rsid w:val="00F34B2C"/>
    <w:rsid w:val="00F350FA"/>
    <w:rsid w:val="00F353BB"/>
    <w:rsid w:val="00F35E7A"/>
    <w:rsid w:val="00F365F6"/>
    <w:rsid w:val="00F40162"/>
    <w:rsid w:val="00F403E0"/>
    <w:rsid w:val="00F41CA1"/>
    <w:rsid w:val="00F42033"/>
    <w:rsid w:val="00F437BB"/>
    <w:rsid w:val="00F440E5"/>
    <w:rsid w:val="00F443BE"/>
    <w:rsid w:val="00F44A0B"/>
    <w:rsid w:val="00F44BA7"/>
    <w:rsid w:val="00F44F39"/>
    <w:rsid w:val="00F45A9A"/>
    <w:rsid w:val="00F45E15"/>
    <w:rsid w:val="00F46455"/>
    <w:rsid w:val="00F46D3E"/>
    <w:rsid w:val="00F47488"/>
    <w:rsid w:val="00F47BC9"/>
    <w:rsid w:val="00F47EF1"/>
    <w:rsid w:val="00F50109"/>
    <w:rsid w:val="00F526B6"/>
    <w:rsid w:val="00F52A59"/>
    <w:rsid w:val="00F52F86"/>
    <w:rsid w:val="00F53820"/>
    <w:rsid w:val="00F548BF"/>
    <w:rsid w:val="00F61BD1"/>
    <w:rsid w:val="00F64A36"/>
    <w:rsid w:val="00F653B4"/>
    <w:rsid w:val="00F66B03"/>
    <w:rsid w:val="00F66E87"/>
    <w:rsid w:val="00F67C2B"/>
    <w:rsid w:val="00F71B0E"/>
    <w:rsid w:val="00F71D43"/>
    <w:rsid w:val="00F71E37"/>
    <w:rsid w:val="00F71E3F"/>
    <w:rsid w:val="00F72504"/>
    <w:rsid w:val="00F726D1"/>
    <w:rsid w:val="00F73808"/>
    <w:rsid w:val="00F744D3"/>
    <w:rsid w:val="00F7488D"/>
    <w:rsid w:val="00F754AC"/>
    <w:rsid w:val="00F77963"/>
    <w:rsid w:val="00F805B9"/>
    <w:rsid w:val="00F80706"/>
    <w:rsid w:val="00F810AF"/>
    <w:rsid w:val="00F822EF"/>
    <w:rsid w:val="00F8424F"/>
    <w:rsid w:val="00F84A51"/>
    <w:rsid w:val="00F84D04"/>
    <w:rsid w:val="00F84DA5"/>
    <w:rsid w:val="00F85953"/>
    <w:rsid w:val="00F87613"/>
    <w:rsid w:val="00F90272"/>
    <w:rsid w:val="00F90F07"/>
    <w:rsid w:val="00F9359B"/>
    <w:rsid w:val="00F94C63"/>
    <w:rsid w:val="00F95773"/>
    <w:rsid w:val="00F95AAC"/>
    <w:rsid w:val="00F9615C"/>
    <w:rsid w:val="00F96631"/>
    <w:rsid w:val="00F96733"/>
    <w:rsid w:val="00F97CE0"/>
    <w:rsid w:val="00FA31C0"/>
    <w:rsid w:val="00FA3B6C"/>
    <w:rsid w:val="00FA3E78"/>
    <w:rsid w:val="00FA45B9"/>
    <w:rsid w:val="00FA468F"/>
    <w:rsid w:val="00FA5157"/>
    <w:rsid w:val="00FB0FCD"/>
    <w:rsid w:val="00FB2EAD"/>
    <w:rsid w:val="00FB3042"/>
    <w:rsid w:val="00FB31BC"/>
    <w:rsid w:val="00FB44BC"/>
    <w:rsid w:val="00FB4F0C"/>
    <w:rsid w:val="00FB5F1A"/>
    <w:rsid w:val="00FB748A"/>
    <w:rsid w:val="00FC0166"/>
    <w:rsid w:val="00FC0C16"/>
    <w:rsid w:val="00FC1581"/>
    <w:rsid w:val="00FC1A96"/>
    <w:rsid w:val="00FC1C7B"/>
    <w:rsid w:val="00FC2D57"/>
    <w:rsid w:val="00FC4190"/>
    <w:rsid w:val="00FD04A0"/>
    <w:rsid w:val="00FD0D51"/>
    <w:rsid w:val="00FD5271"/>
    <w:rsid w:val="00FD7094"/>
    <w:rsid w:val="00FE0390"/>
    <w:rsid w:val="00FE0EBE"/>
    <w:rsid w:val="00FE1328"/>
    <w:rsid w:val="00FE142A"/>
    <w:rsid w:val="00FE14B6"/>
    <w:rsid w:val="00FE2DA6"/>
    <w:rsid w:val="00FE300A"/>
    <w:rsid w:val="00FE7D4F"/>
    <w:rsid w:val="00FF16C8"/>
    <w:rsid w:val="00FF1818"/>
    <w:rsid w:val="00FF27F3"/>
    <w:rsid w:val="00FF2CC5"/>
    <w:rsid w:val="00FF306B"/>
    <w:rsid w:val="00FF35A4"/>
    <w:rsid w:val="00FF35BB"/>
    <w:rsid w:val="00FF4535"/>
    <w:rsid w:val="00FF47AF"/>
    <w:rsid w:val="00FF4E8E"/>
    <w:rsid w:val="00FF58E1"/>
    <w:rsid w:val="00FF67D1"/>
    <w:rsid w:val="00FF7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7842D"/>
  <w15:docId w15:val="{6FA32ED1-9399-40D5-BDF2-8B8FD5BF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EA"/>
    <w:rPr>
      <w:rFonts w:ascii="Times New Roman" w:eastAsia="Times New Roman" w:hAnsi="Times New Roman" w:cs="Times New Roman"/>
      <w:sz w:val="24"/>
      <w:szCs w:val="24"/>
      <w:lang w:val="en-GB" w:eastAsia="es-ES_tradnl"/>
    </w:rPr>
  </w:style>
  <w:style w:type="paragraph" w:styleId="Heading1">
    <w:name w:val="heading 1"/>
    <w:basedOn w:val="ListParagraph"/>
    <w:next w:val="Normal"/>
    <w:link w:val="Heading1Char"/>
    <w:uiPriority w:val="9"/>
    <w:qFormat/>
    <w:rsid w:val="00F805B9"/>
    <w:pPr>
      <w:numPr>
        <w:ilvl w:val="1"/>
        <w:numId w:val="1"/>
      </w:numPr>
      <w:outlineLvl w:val="0"/>
    </w:pPr>
    <w:rPr>
      <w:rFonts w:cs="Arial"/>
      <w:lang w:val="en"/>
    </w:rPr>
  </w:style>
  <w:style w:type="paragraph" w:styleId="Heading2">
    <w:name w:val="heading 2"/>
    <w:basedOn w:val="Normal"/>
    <w:next w:val="Normal"/>
    <w:link w:val="Heading2Char"/>
    <w:uiPriority w:val="9"/>
    <w:unhideWhenUsed/>
    <w:qFormat/>
    <w:rsid w:val="00304F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28AA"/>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222F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EA0DA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5B9"/>
    <w:rPr>
      <w:rFonts w:ascii="Arial" w:eastAsia="Times New Roman" w:hAnsi="Arial" w:cs="Arial"/>
      <w:sz w:val="24"/>
      <w:szCs w:val="24"/>
      <w:lang w:val="en" w:eastAsia="es-ES_tradnl"/>
    </w:rPr>
  </w:style>
  <w:style w:type="character" w:customStyle="1" w:styleId="Heading3Char">
    <w:name w:val="Heading 3 Char"/>
    <w:basedOn w:val="DefaultParagraphFont"/>
    <w:link w:val="Heading3"/>
    <w:uiPriority w:val="9"/>
    <w:rsid w:val="000728AA"/>
    <w:rPr>
      <w:rFonts w:ascii="Times New Roman" w:eastAsiaTheme="majorEastAsia" w:hAnsi="Times New Roman" w:cstheme="majorBidi"/>
      <w:b/>
      <w:szCs w:val="24"/>
      <w:lang w:val="tr-TR"/>
    </w:rPr>
  </w:style>
  <w:style w:type="character" w:customStyle="1" w:styleId="ListParagraphChar">
    <w:name w:val="List Paragraph Char"/>
    <w:aliases w:val="Heading 2_sj Char,List Paragraph1 Char,Fünf Char"/>
    <w:link w:val="ListParagraph"/>
    <w:uiPriority w:val="34"/>
    <w:locked/>
    <w:rsid w:val="00D97A01"/>
    <w:rPr>
      <w:rFonts w:ascii="Arial" w:eastAsia="Times New Roman" w:hAnsi="Arial" w:cs="Times New Roman"/>
      <w:sz w:val="24"/>
      <w:szCs w:val="24"/>
      <w:lang w:val="en-GB" w:eastAsia="es-ES_tradnl"/>
    </w:rPr>
  </w:style>
  <w:style w:type="paragraph" w:styleId="ListParagraph">
    <w:name w:val="List Paragraph"/>
    <w:aliases w:val="Heading 2_sj,List Paragraph1,Fünf"/>
    <w:basedOn w:val="Normal"/>
    <w:link w:val="ListParagraphChar"/>
    <w:uiPriority w:val="34"/>
    <w:qFormat/>
    <w:rsid w:val="00D97A01"/>
    <w:rPr>
      <w:rFonts w:ascii="Arial" w:hAnsi="Arial"/>
    </w:rPr>
  </w:style>
  <w:style w:type="paragraph" w:customStyle="1" w:styleId="Default">
    <w:name w:val="Default"/>
    <w:rsid w:val="002F42A4"/>
    <w:pPr>
      <w:autoSpaceDE w:val="0"/>
      <w:autoSpaceDN w:val="0"/>
      <w:adjustRightInd w:val="0"/>
    </w:pPr>
    <w:rPr>
      <w:rFonts w:ascii="Arial" w:hAnsi="Arial" w:cs="Arial"/>
      <w:color w:val="000000"/>
      <w:sz w:val="24"/>
      <w:szCs w:val="24"/>
      <w:lang w:val="en-GB"/>
    </w:rPr>
  </w:style>
  <w:style w:type="character" w:customStyle="1" w:styleId="jlqj4b">
    <w:name w:val="jlqj4b"/>
    <w:basedOn w:val="DefaultParagraphFont"/>
    <w:rsid w:val="002F42A4"/>
  </w:style>
  <w:style w:type="character" w:customStyle="1" w:styleId="viiyi">
    <w:name w:val="viiyi"/>
    <w:basedOn w:val="DefaultParagraphFont"/>
    <w:rsid w:val="00304F19"/>
  </w:style>
  <w:style w:type="character" w:customStyle="1" w:styleId="Heading2Char">
    <w:name w:val="Heading 2 Char"/>
    <w:basedOn w:val="DefaultParagraphFont"/>
    <w:link w:val="Heading2"/>
    <w:uiPriority w:val="9"/>
    <w:rsid w:val="00304F19"/>
    <w:rPr>
      <w:rFonts w:asciiTheme="majorHAnsi" w:eastAsiaTheme="majorEastAsia" w:hAnsiTheme="majorHAnsi" w:cstheme="majorBidi"/>
      <w:color w:val="2F5496" w:themeColor="accent1" w:themeShade="BF"/>
      <w:sz w:val="26"/>
      <w:szCs w:val="26"/>
      <w:lang w:val="en-GB" w:eastAsia="es-ES_tradnl"/>
    </w:rPr>
  </w:style>
  <w:style w:type="paragraph" w:styleId="Header">
    <w:name w:val="header"/>
    <w:basedOn w:val="Normal"/>
    <w:link w:val="HeaderChar"/>
    <w:uiPriority w:val="99"/>
    <w:unhideWhenUsed/>
    <w:rsid w:val="003C2933"/>
    <w:pPr>
      <w:tabs>
        <w:tab w:val="center" w:pos="4513"/>
        <w:tab w:val="right" w:pos="9026"/>
      </w:tabs>
    </w:pPr>
  </w:style>
  <w:style w:type="character" w:customStyle="1" w:styleId="HeaderChar">
    <w:name w:val="Header Char"/>
    <w:basedOn w:val="DefaultParagraphFont"/>
    <w:link w:val="Header"/>
    <w:uiPriority w:val="99"/>
    <w:rsid w:val="003C2933"/>
    <w:rPr>
      <w:rFonts w:ascii="Times New Roman" w:eastAsia="Times New Roman" w:hAnsi="Times New Roman" w:cs="Times New Roman"/>
      <w:sz w:val="24"/>
      <w:szCs w:val="24"/>
      <w:lang w:val="en-GB" w:eastAsia="es-ES_tradnl"/>
    </w:rPr>
  </w:style>
  <w:style w:type="paragraph" w:styleId="Footer">
    <w:name w:val="footer"/>
    <w:basedOn w:val="Normal"/>
    <w:link w:val="FooterChar"/>
    <w:uiPriority w:val="99"/>
    <w:unhideWhenUsed/>
    <w:rsid w:val="003C2933"/>
    <w:pPr>
      <w:tabs>
        <w:tab w:val="center" w:pos="4513"/>
        <w:tab w:val="right" w:pos="9026"/>
      </w:tabs>
    </w:pPr>
  </w:style>
  <w:style w:type="character" w:customStyle="1" w:styleId="FooterChar">
    <w:name w:val="Footer Char"/>
    <w:basedOn w:val="DefaultParagraphFont"/>
    <w:link w:val="Footer"/>
    <w:uiPriority w:val="99"/>
    <w:rsid w:val="003C2933"/>
    <w:rPr>
      <w:rFonts w:ascii="Times New Roman" w:eastAsia="Times New Roman" w:hAnsi="Times New Roman" w:cs="Times New Roman"/>
      <w:sz w:val="24"/>
      <w:szCs w:val="24"/>
      <w:lang w:val="en-GB" w:eastAsia="es-ES_tradnl"/>
    </w:rPr>
  </w:style>
  <w:style w:type="paragraph" w:styleId="NormalWeb">
    <w:name w:val="Normal (Web)"/>
    <w:basedOn w:val="Normal"/>
    <w:uiPriority w:val="99"/>
    <w:unhideWhenUsed/>
    <w:rsid w:val="00325721"/>
    <w:pPr>
      <w:spacing w:before="100" w:beforeAutospacing="1" w:after="100" w:afterAutospacing="1"/>
    </w:pPr>
    <w:rPr>
      <w:lang w:eastAsia="en-GB"/>
    </w:rPr>
  </w:style>
  <w:style w:type="character" w:styleId="Hyperlink">
    <w:name w:val="Hyperlink"/>
    <w:basedOn w:val="DefaultParagraphFont"/>
    <w:uiPriority w:val="99"/>
    <w:unhideWhenUsed/>
    <w:rsid w:val="005C414A"/>
    <w:rPr>
      <w:color w:val="0563C1" w:themeColor="hyperlink"/>
      <w:u w:val="single"/>
    </w:rPr>
  </w:style>
  <w:style w:type="character" w:customStyle="1" w:styleId="UnresolvedMention1">
    <w:name w:val="Unresolved Mention1"/>
    <w:basedOn w:val="DefaultParagraphFont"/>
    <w:uiPriority w:val="99"/>
    <w:semiHidden/>
    <w:unhideWhenUsed/>
    <w:rsid w:val="005C414A"/>
    <w:rPr>
      <w:color w:val="605E5C"/>
      <w:shd w:val="clear" w:color="auto" w:fill="E1DFDD"/>
    </w:rPr>
  </w:style>
  <w:style w:type="paragraph" w:customStyle="1" w:styleId="p">
    <w:name w:val="p"/>
    <w:basedOn w:val="Normal"/>
    <w:rsid w:val="001332CC"/>
    <w:pPr>
      <w:spacing w:before="100" w:beforeAutospacing="1" w:after="100" w:afterAutospacing="1"/>
    </w:pPr>
    <w:rPr>
      <w:lang w:eastAsia="en-GB"/>
    </w:rPr>
  </w:style>
  <w:style w:type="character" w:customStyle="1" w:styleId="Heading4Char">
    <w:name w:val="Heading 4 Char"/>
    <w:basedOn w:val="DefaultParagraphFont"/>
    <w:link w:val="Heading4"/>
    <w:uiPriority w:val="9"/>
    <w:semiHidden/>
    <w:rsid w:val="00222FAB"/>
    <w:rPr>
      <w:rFonts w:asciiTheme="majorHAnsi" w:eastAsiaTheme="majorEastAsia" w:hAnsiTheme="majorHAnsi" w:cstheme="majorBidi"/>
      <w:i/>
      <w:iCs/>
      <w:color w:val="2F5496" w:themeColor="accent1" w:themeShade="BF"/>
      <w:sz w:val="24"/>
      <w:szCs w:val="24"/>
      <w:lang w:val="en-GB" w:eastAsia="es-ES_tradnl"/>
    </w:rPr>
  </w:style>
  <w:style w:type="table" w:styleId="TableGrid">
    <w:name w:val="Table Grid"/>
    <w:basedOn w:val="TableNormal"/>
    <w:rsid w:val="001E43CE"/>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8d990e2">
    <w:name w:val="sb8d990e2"/>
    <w:basedOn w:val="DefaultParagraphFont"/>
    <w:rsid w:val="000A3919"/>
  </w:style>
  <w:style w:type="character" w:customStyle="1" w:styleId="s556a1e9d">
    <w:name w:val="s556a1e9d"/>
    <w:basedOn w:val="DefaultParagraphFont"/>
    <w:rsid w:val="000A3919"/>
  </w:style>
  <w:style w:type="character" w:customStyle="1" w:styleId="wordhighlighted">
    <w:name w:val="wordhighlighted"/>
    <w:basedOn w:val="DefaultParagraphFont"/>
    <w:rsid w:val="00051FE7"/>
  </w:style>
  <w:style w:type="character" w:customStyle="1" w:styleId="Heading6Char">
    <w:name w:val="Heading 6 Char"/>
    <w:basedOn w:val="DefaultParagraphFont"/>
    <w:link w:val="Heading6"/>
    <w:uiPriority w:val="9"/>
    <w:semiHidden/>
    <w:rsid w:val="00EA0DA4"/>
    <w:rPr>
      <w:rFonts w:asciiTheme="majorHAnsi" w:eastAsiaTheme="majorEastAsia" w:hAnsiTheme="majorHAnsi" w:cstheme="majorBidi"/>
      <w:color w:val="1F3763" w:themeColor="accent1" w:themeShade="7F"/>
      <w:sz w:val="24"/>
      <w:szCs w:val="24"/>
      <w:lang w:val="en-GB" w:eastAsia="es-ES_tradnl"/>
    </w:rPr>
  </w:style>
  <w:style w:type="paragraph" w:customStyle="1" w:styleId="s746c8714">
    <w:name w:val="s746c8714"/>
    <w:basedOn w:val="Normal"/>
    <w:rsid w:val="00BB6A0D"/>
    <w:pPr>
      <w:spacing w:before="100" w:beforeAutospacing="1" w:after="100" w:afterAutospacing="1"/>
    </w:pPr>
    <w:rPr>
      <w:lang w:eastAsia="en-GB"/>
    </w:rPr>
  </w:style>
  <w:style w:type="character" w:customStyle="1" w:styleId="s6b621b36">
    <w:name w:val="s6b621b36"/>
    <w:basedOn w:val="DefaultParagraphFont"/>
    <w:rsid w:val="00BB6A0D"/>
  </w:style>
  <w:style w:type="paragraph" w:customStyle="1" w:styleId="s6e50bd9a">
    <w:name w:val="s6e50bd9a"/>
    <w:basedOn w:val="Normal"/>
    <w:rsid w:val="00BB6A0D"/>
    <w:pPr>
      <w:spacing w:before="100" w:beforeAutospacing="1" w:after="100" w:afterAutospacing="1"/>
    </w:pPr>
    <w:rPr>
      <w:lang w:eastAsia="en-GB"/>
    </w:rPr>
  </w:style>
  <w:style w:type="character" w:customStyle="1" w:styleId="sf8bfa2bc">
    <w:name w:val="sf8bfa2bc"/>
    <w:basedOn w:val="DefaultParagraphFont"/>
    <w:rsid w:val="00BB6A0D"/>
  </w:style>
  <w:style w:type="character" w:customStyle="1" w:styleId="s7d2086b4">
    <w:name w:val="s7d2086b4"/>
    <w:basedOn w:val="DefaultParagraphFont"/>
    <w:rsid w:val="00BB6A0D"/>
  </w:style>
  <w:style w:type="character" w:customStyle="1" w:styleId="s45d7f35c">
    <w:name w:val="s45d7f35c"/>
    <w:basedOn w:val="DefaultParagraphFont"/>
    <w:rsid w:val="00BB6A0D"/>
  </w:style>
  <w:style w:type="paragraph" w:customStyle="1" w:styleId="s21029571">
    <w:name w:val="s21029571"/>
    <w:basedOn w:val="Normal"/>
    <w:rsid w:val="0004357D"/>
    <w:pPr>
      <w:spacing w:before="100" w:beforeAutospacing="1" w:after="100" w:afterAutospacing="1"/>
    </w:pPr>
    <w:rPr>
      <w:lang w:eastAsia="en-GB"/>
    </w:rPr>
  </w:style>
  <w:style w:type="character" w:customStyle="1" w:styleId="s52c23de3">
    <w:name w:val="s52c23de3"/>
    <w:basedOn w:val="DefaultParagraphFont"/>
    <w:rsid w:val="0004357D"/>
  </w:style>
  <w:style w:type="paragraph" w:customStyle="1" w:styleId="s85f10f75">
    <w:name w:val="s85f10f75"/>
    <w:basedOn w:val="Normal"/>
    <w:rsid w:val="0004357D"/>
    <w:pPr>
      <w:spacing w:before="100" w:beforeAutospacing="1" w:after="100" w:afterAutospacing="1"/>
    </w:pPr>
    <w:rPr>
      <w:lang w:eastAsia="en-GB"/>
    </w:rPr>
  </w:style>
  <w:style w:type="character" w:customStyle="1" w:styleId="sfbbfee58">
    <w:name w:val="sfbbfee58"/>
    <w:basedOn w:val="DefaultParagraphFont"/>
    <w:rsid w:val="0004357D"/>
  </w:style>
  <w:style w:type="character" w:customStyle="1" w:styleId="sfc3bb5f">
    <w:name w:val="sfc3bb5f"/>
    <w:basedOn w:val="DefaultParagraphFont"/>
    <w:rsid w:val="0004357D"/>
  </w:style>
  <w:style w:type="character" w:styleId="Emphasis">
    <w:name w:val="Emphasis"/>
    <w:basedOn w:val="DefaultParagraphFont"/>
    <w:uiPriority w:val="20"/>
    <w:qFormat/>
    <w:rsid w:val="00A909D2"/>
    <w:rPr>
      <w:i/>
      <w:iCs/>
    </w:rPr>
  </w:style>
  <w:style w:type="paragraph" w:styleId="Title">
    <w:name w:val="Title"/>
    <w:basedOn w:val="Normal"/>
    <w:next w:val="Normal"/>
    <w:link w:val="TitleChar"/>
    <w:uiPriority w:val="10"/>
    <w:qFormat/>
    <w:rsid w:val="007E2CD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E2CDC"/>
    <w:rPr>
      <w:rFonts w:asciiTheme="majorHAnsi" w:eastAsiaTheme="majorEastAsia" w:hAnsiTheme="majorHAnsi" w:cstheme="majorBidi"/>
      <w:spacing w:val="-10"/>
      <w:kern w:val="28"/>
      <w:sz w:val="56"/>
      <w:szCs w:val="56"/>
      <w:lang w:val="en-GB"/>
    </w:rPr>
  </w:style>
  <w:style w:type="paragraph" w:styleId="EndnoteText">
    <w:name w:val="endnote text"/>
    <w:basedOn w:val="Normal"/>
    <w:link w:val="EndnoteTextChar"/>
    <w:uiPriority w:val="99"/>
    <w:semiHidden/>
    <w:unhideWhenUsed/>
    <w:rsid w:val="005F4B1F"/>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F4B1F"/>
    <w:rPr>
      <w:sz w:val="20"/>
      <w:szCs w:val="20"/>
      <w:lang w:val="en-GB"/>
    </w:rPr>
  </w:style>
  <w:style w:type="character" w:styleId="EndnoteReference">
    <w:name w:val="endnote reference"/>
    <w:basedOn w:val="DefaultParagraphFont"/>
    <w:uiPriority w:val="99"/>
    <w:semiHidden/>
    <w:unhideWhenUsed/>
    <w:rsid w:val="005F4B1F"/>
    <w:rPr>
      <w:vertAlign w:val="superscript"/>
    </w:rPr>
  </w:style>
  <w:style w:type="paragraph" w:customStyle="1" w:styleId="ti-art">
    <w:name w:val="ti-art"/>
    <w:basedOn w:val="Normal"/>
    <w:rsid w:val="00AD42C9"/>
    <w:pPr>
      <w:spacing w:before="100" w:beforeAutospacing="1" w:after="100" w:afterAutospacing="1"/>
    </w:pPr>
    <w:rPr>
      <w:lang w:eastAsia="en-GB"/>
    </w:rPr>
  </w:style>
  <w:style w:type="paragraph" w:customStyle="1" w:styleId="sti-art">
    <w:name w:val="sti-art"/>
    <w:basedOn w:val="Normal"/>
    <w:rsid w:val="00AD42C9"/>
    <w:pPr>
      <w:spacing w:before="100" w:beforeAutospacing="1" w:after="100" w:afterAutospacing="1"/>
    </w:pPr>
    <w:rPr>
      <w:lang w:eastAsia="en-GB"/>
    </w:rPr>
  </w:style>
  <w:style w:type="paragraph" w:customStyle="1" w:styleId="Normal1">
    <w:name w:val="Normal1"/>
    <w:basedOn w:val="Normal"/>
    <w:rsid w:val="00AD42C9"/>
    <w:pPr>
      <w:spacing w:before="100" w:beforeAutospacing="1" w:after="100" w:afterAutospacing="1"/>
    </w:pPr>
    <w:rPr>
      <w:lang w:eastAsia="en-GB"/>
    </w:rPr>
  </w:style>
  <w:style w:type="character" w:customStyle="1" w:styleId="q4iawc">
    <w:name w:val="q4iawc"/>
    <w:basedOn w:val="DefaultParagraphFont"/>
    <w:rsid w:val="00E40F3B"/>
  </w:style>
  <w:style w:type="paragraph" w:customStyle="1" w:styleId="adslotparagraph">
    <w:name w:val="adslotparagraph"/>
    <w:basedOn w:val="Normal"/>
    <w:rsid w:val="00A67B56"/>
    <w:pPr>
      <w:spacing w:before="100" w:beforeAutospacing="1" w:after="100" w:afterAutospacing="1"/>
      <w:jc w:val="left"/>
    </w:pPr>
    <w:rPr>
      <w:lang w:eastAsia="en-GB"/>
    </w:rPr>
  </w:style>
  <w:style w:type="character" w:styleId="Strong">
    <w:name w:val="Strong"/>
    <w:basedOn w:val="DefaultParagraphFont"/>
    <w:uiPriority w:val="22"/>
    <w:qFormat/>
    <w:rsid w:val="00A67B56"/>
    <w:rPr>
      <w:b/>
      <w:bCs/>
    </w:rPr>
  </w:style>
  <w:style w:type="character" w:styleId="CommentReference">
    <w:name w:val="annotation reference"/>
    <w:basedOn w:val="DefaultParagraphFont"/>
    <w:uiPriority w:val="99"/>
    <w:semiHidden/>
    <w:unhideWhenUsed/>
    <w:rsid w:val="00031D90"/>
    <w:rPr>
      <w:sz w:val="16"/>
      <w:szCs w:val="16"/>
    </w:rPr>
  </w:style>
  <w:style w:type="paragraph" w:styleId="CommentText">
    <w:name w:val="annotation text"/>
    <w:basedOn w:val="Normal"/>
    <w:link w:val="CommentTextChar"/>
    <w:uiPriority w:val="99"/>
    <w:semiHidden/>
    <w:unhideWhenUsed/>
    <w:rsid w:val="00031D90"/>
    <w:rPr>
      <w:sz w:val="20"/>
      <w:szCs w:val="20"/>
    </w:rPr>
  </w:style>
  <w:style w:type="character" w:customStyle="1" w:styleId="CommentTextChar">
    <w:name w:val="Comment Text Char"/>
    <w:basedOn w:val="DefaultParagraphFont"/>
    <w:link w:val="CommentText"/>
    <w:uiPriority w:val="99"/>
    <w:semiHidden/>
    <w:rsid w:val="00031D90"/>
    <w:rPr>
      <w:rFonts w:ascii="Times New Roman" w:eastAsia="Times New Roman" w:hAnsi="Times New Roman" w:cs="Times New Roman"/>
      <w:sz w:val="20"/>
      <w:szCs w:val="20"/>
      <w:lang w:val="en-GB" w:eastAsia="es-ES_tradnl"/>
    </w:rPr>
  </w:style>
  <w:style w:type="paragraph" w:styleId="CommentSubject">
    <w:name w:val="annotation subject"/>
    <w:basedOn w:val="CommentText"/>
    <w:next w:val="CommentText"/>
    <w:link w:val="CommentSubjectChar"/>
    <w:uiPriority w:val="99"/>
    <w:semiHidden/>
    <w:unhideWhenUsed/>
    <w:rsid w:val="00031D90"/>
    <w:rPr>
      <w:b/>
      <w:bCs/>
    </w:rPr>
  </w:style>
  <w:style w:type="character" w:customStyle="1" w:styleId="CommentSubjectChar">
    <w:name w:val="Comment Subject Char"/>
    <w:basedOn w:val="CommentTextChar"/>
    <w:link w:val="CommentSubject"/>
    <w:uiPriority w:val="99"/>
    <w:semiHidden/>
    <w:rsid w:val="00031D90"/>
    <w:rPr>
      <w:rFonts w:ascii="Times New Roman" w:eastAsia="Times New Roman" w:hAnsi="Times New Roman" w:cs="Times New Roman"/>
      <w:b/>
      <w:bCs/>
      <w:sz w:val="20"/>
      <w:szCs w:val="20"/>
      <w:lang w:val="en-GB" w:eastAsia="es-ES_tradnl"/>
    </w:rPr>
  </w:style>
  <w:style w:type="character" w:customStyle="1" w:styleId="s94c7f605">
    <w:name w:val="s94c7f605"/>
    <w:basedOn w:val="DefaultParagraphFont"/>
    <w:rsid w:val="002C12DA"/>
  </w:style>
  <w:style w:type="paragraph" w:customStyle="1" w:styleId="s32b251d">
    <w:name w:val="s32b251d"/>
    <w:basedOn w:val="Normal"/>
    <w:rsid w:val="002C12DA"/>
    <w:pPr>
      <w:spacing w:before="100" w:beforeAutospacing="1" w:after="100" w:afterAutospacing="1"/>
      <w:jc w:val="left"/>
    </w:pPr>
    <w:rPr>
      <w:lang w:eastAsia="en-GB"/>
    </w:rPr>
  </w:style>
  <w:style w:type="paragraph" w:customStyle="1" w:styleId="sda210a93">
    <w:name w:val="sda210a93"/>
    <w:basedOn w:val="Normal"/>
    <w:rsid w:val="00010E00"/>
    <w:pPr>
      <w:spacing w:before="100" w:beforeAutospacing="1" w:after="100" w:afterAutospacing="1"/>
      <w:jc w:val="left"/>
    </w:pPr>
    <w:rPr>
      <w:lang w:eastAsia="en-GB"/>
    </w:rPr>
  </w:style>
  <w:style w:type="paragraph" w:customStyle="1" w:styleId="s357a70e5">
    <w:name w:val="s357a70e5"/>
    <w:basedOn w:val="Normal"/>
    <w:rsid w:val="00010E00"/>
    <w:pPr>
      <w:spacing w:before="100" w:beforeAutospacing="1" w:after="100" w:afterAutospacing="1"/>
      <w:jc w:val="left"/>
    </w:pPr>
    <w:rPr>
      <w:lang w:eastAsia="en-GB"/>
    </w:rPr>
  </w:style>
  <w:style w:type="character" w:styleId="FollowedHyperlink">
    <w:name w:val="FollowedHyperlink"/>
    <w:basedOn w:val="DefaultParagraphFont"/>
    <w:uiPriority w:val="99"/>
    <w:semiHidden/>
    <w:unhideWhenUsed/>
    <w:rsid w:val="00001A05"/>
    <w:rPr>
      <w:color w:val="954F72" w:themeColor="followedHyperlink"/>
      <w:u w:val="single"/>
    </w:rPr>
  </w:style>
  <w:style w:type="paragraph" w:styleId="FootnoteText">
    <w:name w:val="footnote text"/>
    <w:aliases w:val="Footnote, Char, Char Char Char Char,5_G,Char Char Char Char,Footnote Text Char Char,Footnote Text Char Char Char Char,Footnote Text Char1"/>
    <w:basedOn w:val="Normal"/>
    <w:link w:val="FootnoteTextChar"/>
    <w:qFormat/>
    <w:rsid w:val="003C6298"/>
    <w:pPr>
      <w:jc w:val="left"/>
    </w:pPr>
    <w:rPr>
      <w:sz w:val="20"/>
      <w:szCs w:val="20"/>
      <w:lang w:val="en-US" w:eastAsia="en-US"/>
    </w:rPr>
  </w:style>
  <w:style w:type="character" w:customStyle="1" w:styleId="FootnoteTextChar">
    <w:name w:val="Footnote Text Char"/>
    <w:aliases w:val="Footnote Char, Char Char, Char Char Char Char Char,5_G Char,Char Char Char Char Char,Footnote Text Char Char Char,Footnote Text Char Char Char Char Char,Footnote Text Char1 Char"/>
    <w:basedOn w:val="DefaultParagraphFont"/>
    <w:link w:val="FootnoteText"/>
    <w:rsid w:val="003C6298"/>
    <w:rPr>
      <w:rFonts w:ascii="Times New Roman" w:eastAsia="Times New Roman" w:hAnsi="Times New Roman" w:cs="Times New Roman"/>
      <w:sz w:val="20"/>
      <w:szCs w:val="20"/>
      <w:lang w:val="en-US"/>
    </w:rPr>
  </w:style>
  <w:style w:type="character" w:styleId="FootnoteReference">
    <w:name w:val="footnote reference"/>
    <w:aliases w:val="Footnotes refss,4_G Char Char,Footnote Reference1 Char Char,Footnotes refss Char Char,ftref Char Char,BVI fnr Char Char,BVI fnr Car Car Char Char,BVI fnr Car Char Char,BVI fnr Car Car Car Car Char Char1,4_G,ftref,Ref"/>
    <w:link w:val="4GChar"/>
    <w:uiPriority w:val="99"/>
    <w:qFormat/>
    <w:rsid w:val="003C6298"/>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qFormat/>
    <w:rsid w:val="003C6298"/>
    <w:pPr>
      <w:spacing w:after="160" w:line="240" w:lineRule="exact"/>
    </w:pPr>
    <w:rPr>
      <w:rFonts w:asciiTheme="minorHAnsi" w:eastAsiaTheme="minorHAnsi" w:hAnsiTheme="minorHAnsi" w:cstheme="minorBidi"/>
      <w:sz w:val="22"/>
      <w:szCs w:val="22"/>
      <w:vertAlign w:val="superscript"/>
      <w:lang w:val="fr-FR" w:eastAsia="en-US"/>
    </w:rPr>
  </w:style>
  <w:style w:type="paragraph" w:styleId="Revision">
    <w:name w:val="Revision"/>
    <w:hidden/>
    <w:uiPriority w:val="99"/>
    <w:semiHidden/>
    <w:rsid w:val="00FF47AF"/>
    <w:pPr>
      <w:jc w:val="left"/>
    </w:pPr>
    <w:rPr>
      <w:rFonts w:ascii="Times New Roman" w:eastAsia="Times New Roman" w:hAnsi="Times New Roman" w:cs="Times New Roman"/>
      <w:sz w:val="24"/>
      <w:szCs w:val="24"/>
      <w:lang w:val="en-GB" w:eastAsia="es-ES_tradnl"/>
    </w:rPr>
  </w:style>
  <w:style w:type="paragraph" w:styleId="BalloonText">
    <w:name w:val="Balloon Text"/>
    <w:basedOn w:val="Normal"/>
    <w:link w:val="BalloonTextChar"/>
    <w:uiPriority w:val="99"/>
    <w:semiHidden/>
    <w:unhideWhenUsed/>
    <w:rsid w:val="00FF47AF"/>
    <w:rPr>
      <w:rFonts w:ascii="Tahoma" w:hAnsi="Tahoma" w:cs="Tahoma"/>
      <w:sz w:val="16"/>
      <w:szCs w:val="16"/>
    </w:rPr>
  </w:style>
  <w:style w:type="character" w:customStyle="1" w:styleId="BalloonTextChar">
    <w:name w:val="Balloon Text Char"/>
    <w:basedOn w:val="DefaultParagraphFont"/>
    <w:link w:val="BalloonText"/>
    <w:uiPriority w:val="99"/>
    <w:semiHidden/>
    <w:rsid w:val="00FF47AF"/>
    <w:rPr>
      <w:rFonts w:ascii="Tahoma" w:eastAsia="Times New Roman" w:hAnsi="Tahoma" w:cs="Tahoma"/>
      <w:sz w:val="16"/>
      <w:szCs w:val="16"/>
      <w:lang w:val="en-GB" w:eastAsia="es-ES_tradnl"/>
    </w:rPr>
  </w:style>
  <w:style w:type="character" w:styleId="PageNumber">
    <w:name w:val="page number"/>
    <w:basedOn w:val="DefaultParagraphFont"/>
    <w:rsid w:val="00E33849"/>
  </w:style>
  <w:style w:type="paragraph" w:styleId="BodyText">
    <w:name w:val="Body Text"/>
    <w:basedOn w:val="Normal"/>
    <w:link w:val="BodyTextChar"/>
    <w:rsid w:val="00F00A8B"/>
    <w:rPr>
      <w:rFonts w:ascii="Arial" w:hAnsi="Arial"/>
      <w:lang w:val="fr-FR" w:eastAsia="en-US"/>
    </w:rPr>
  </w:style>
  <w:style w:type="character" w:customStyle="1" w:styleId="BodyTextChar">
    <w:name w:val="Body Text Char"/>
    <w:basedOn w:val="DefaultParagraphFont"/>
    <w:link w:val="BodyText"/>
    <w:rsid w:val="00F00A8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867">
      <w:bodyDiv w:val="1"/>
      <w:marLeft w:val="0"/>
      <w:marRight w:val="0"/>
      <w:marTop w:val="0"/>
      <w:marBottom w:val="0"/>
      <w:divBdr>
        <w:top w:val="none" w:sz="0" w:space="0" w:color="auto"/>
        <w:left w:val="none" w:sz="0" w:space="0" w:color="auto"/>
        <w:bottom w:val="none" w:sz="0" w:space="0" w:color="auto"/>
        <w:right w:val="none" w:sz="0" w:space="0" w:color="auto"/>
      </w:divBdr>
    </w:div>
    <w:div w:id="49308685">
      <w:bodyDiv w:val="1"/>
      <w:marLeft w:val="0"/>
      <w:marRight w:val="0"/>
      <w:marTop w:val="0"/>
      <w:marBottom w:val="0"/>
      <w:divBdr>
        <w:top w:val="none" w:sz="0" w:space="0" w:color="auto"/>
        <w:left w:val="none" w:sz="0" w:space="0" w:color="auto"/>
        <w:bottom w:val="none" w:sz="0" w:space="0" w:color="auto"/>
        <w:right w:val="none" w:sz="0" w:space="0" w:color="auto"/>
      </w:divBdr>
    </w:div>
    <w:div w:id="72315381">
      <w:bodyDiv w:val="1"/>
      <w:marLeft w:val="0"/>
      <w:marRight w:val="0"/>
      <w:marTop w:val="0"/>
      <w:marBottom w:val="0"/>
      <w:divBdr>
        <w:top w:val="none" w:sz="0" w:space="0" w:color="auto"/>
        <w:left w:val="none" w:sz="0" w:space="0" w:color="auto"/>
        <w:bottom w:val="none" w:sz="0" w:space="0" w:color="auto"/>
        <w:right w:val="none" w:sz="0" w:space="0" w:color="auto"/>
      </w:divBdr>
    </w:div>
    <w:div w:id="89745223">
      <w:bodyDiv w:val="1"/>
      <w:marLeft w:val="0"/>
      <w:marRight w:val="0"/>
      <w:marTop w:val="0"/>
      <w:marBottom w:val="0"/>
      <w:divBdr>
        <w:top w:val="none" w:sz="0" w:space="0" w:color="auto"/>
        <w:left w:val="none" w:sz="0" w:space="0" w:color="auto"/>
        <w:bottom w:val="none" w:sz="0" w:space="0" w:color="auto"/>
        <w:right w:val="none" w:sz="0" w:space="0" w:color="auto"/>
      </w:divBdr>
    </w:div>
    <w:div w:id="99376464">
      <w:bodyDiv w:val="1"/>
      <w:marLeft w:val="0"/>
      <w:marRight w:val="0"/>
      <w:marTop w:val="0"/>
      <w:marBottom w:val="0"/>
      <w:divBdr>
        <w:top w:val="none" w:sz="0" w:space="0" w:color="auto"/>
        <w:left w:val="none" w:sz="0" w:space="0" w:color="auto"/>
        <w:bottom w:val="none" w:sz="0" w:space="0" w:color="auto"/>
        <w:right w:val="none" w:sz="0" w:space="0" w:color="auto"/>
      </w:divBdr>
    </w:div>
    <w:div w:id="138114614">
      <w:bodyDiv w:val="1"/>
      <w:marLeft w:val="0"/>
      <w:marRight w:val="0"/>
      <w:marTop w:val="0"/>
      <w:marBottom w:val="0"/>
      <w:divBdr>
        <w:top w:val="none" w:sz="0" w:space="0" w:color="auto"/>
        <w:left w:val="none" w:sz="0" w:space="0" w:color="auto"/>
        <w:bottom w:val="none" w:sz="0" w:space="0" w:color="auto"/>
        <w:right w:val="none" w:sz="0" w:space="0" w:color="auto"/>
      </w:divBdr>
    </w:div>
    <w:div w:id="144124240">
      <w:bodyDiv w:val="1"/>
      <w:marLeft w:val="0"/>
      <w:marRight w:val="0"/>
      <w:marTop w:val="0"/>
      <w:marBottom w:val="0"/>
      <w:divBdr>
        <w:top w:val="none" w:sz="0" w:space="0" w:color="auto"/>
        <w:left w:val="none" w:sz="0" w:space="0" w:color="auto"/>
        <w:bottom w:val="none" w:sz="0" w:space="0" w:color="auto"/>
        <w:right w:val="none" w:sz="0" w:space="0" w:color="auto"/>
      </w:divBdr>
      <w:divsChild>
        <w:div w:id="204099055">
          <w:marLeft w:val="0"/>
          <w:marRight w:val="0"/>
          <w:marTop w:val="100"/>
          <w:marBottom w:val="0"/>
          <w:divBdr>
            <w:top w:val="none" w:sz="0" w:space="0" w:color="auto"/>
            <w:left w:val="none" w:sz="0" w:space="0" w:color="auto"/>
            <w:bottom w:val="none" w:sz="0" w:space="0" w:color="auto"/>
            <w:right w:val="none" w:sz="0" w:space="0" w:color="auto"/>
          </w:divBdr>
        </w:div>
        <w:div w:id="2026206183">
          <w:marLeft w:val="0"/>
          <w:marRight w:val="0"/>
          <w:marTop w:val="0"/>
          <w:marBottom w:val="0"/>
          <w:divBdr>
            <w:top w:val="none" w:sz="0" w:space="0" w:color="auto"/>
            <w:left w:val="none" w:sz="0" w:space="0" w:color="auto"/>
            <w:bottom w:val="none" w:sz="0" w:space="0" w:color="auto"/>
            <w:right w:val="none" w:sz="0" w:space="0" w:color="auto"/>
          </w:divBdr>
          <w:divsChild>
            <w:div w:id="1205828893">
              <w:marLeft w:val="0"/>
              <w:marRight w:val="0"/>
              <w:marTop w:val="0"/>
              <w:marBottom w:val="0"/>
              <w:divBdr>
                <w:top w:val="none" w:sz="0" w:space="0" w:color="auto"/>
                <w:left w:val="none" w:sz="0" w:space="0" w:color="auto"/>
                <w:bottom w:val="none" w:sz="0" w:space="0" w:color="auto"/>
                <w:right w:val="none" w:sz="0" w:space="0" w:color="auto"/>
              </w:divBdr>
              <w:divsChild>
                <w:div w:id="314728817">
                  <w:marLeft w:val="0"/>
                  <w:marRight w:val="0"/>
                  <w:marTop w:val="0"/>
                  <w:marBottom w:val="0"/>
                  <w:divBdr>
                    <w:top w:val="none" w:sz="0" w:space="0" w:color="auto"/>
                    <w:left w:val="none" w:sz="0" w:space="0" w:color="auto"/>
                    <w:bottom w:val="none" w:sz="0" w:space="0" w:color="auto"/>
                    <w:right w:val="none" w:sz="0" w:space="0" w:color="auto"/>
                  </w:divBdr>
                  <w:divsChild>
                    <w:div w:id="18434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3222">
          <w:marLeft w:val="0"/>
          <w:marRight w:val="0"/>
          <w:marTop w:val="0"/>
          <w:marBottom w:val="0"/>
          <w:divBdr>
            <w:top w:val="none" w:sz="0" w:space="0" w:color="auto"/>
            <w:left w:val="none" w:sz="0" w:space="0" w:color="auto"/>
            <w:bottom w:val="none" w:sz="0" w:space="0" w:color="auto"/>
            <w:right w:val="none" w:sz="0" w:space="0" w:color="auto"/>
          </w:divBdr>
          <w:divsChild>
            <w:div w:id="381171573">
              <w:marLeft w:val="0"/>
              <w:marRight w:val="0"/>
              <w:marTop w:val="0"/>
              <w:marBottom w:val="0"/>
              <w:divBdr>
                <w:top w:val="none" w:sz="0" w:space="0" w:color="auto"/>
                <w:left w:val="none" w:sz="0" w:space="0" w:color="auto"/>
                <w:bottom w:val="none" w:sz="0" w:space="0" w:color="auto"/>
                <w:right w:val="none" w:sz="0" w:space="0" w:color="auto"/>
              </w:divBdr>
              <w:divsChild>
                <w:div w:id="4913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0940">
      <w:bodyDiv w:val="1"/>
      <w:marLeft w:val="0"/>
      <w:marRight w:val="0"/>
      <w:marTop w:val="0"/>
      <w:marBottom w:val="0"/>
      <w:divBdr>
        <w:top w:val="none" w:sz="0" w:space="0" w:color="auto"/>
        <w:left w:val="none" w:sz="0" w:space="0" w:color="auto"/>
        <w:bottom w:val="none" w:sz="0" w:space="0" w:color="auto"/>
        <w:right w:val="none" w:sz="0" w:space="0" w:color="auto"/>
      </w:divBdr>
    </w:div>
    <w:div w:id="168495633">
      <w:bodyDiv w:val="1"/>
      <w:marLeft w:val="0"/>
      <w:marRight w:val="0"/>
      <w:marTop w:val="0"/>
      <w:marBottom w:val="0"/>
      <w:divBdr>
        <w:top w:val="none" w:sz="0" w:space="0" w:color="auto"/>
        <w:left w:val="none" w:sz="0" w:space="0" w:color="auto"/>
        <w:bottom w:val="none" w:sz="0" w:space="0" w:color="auto"/>
        <w:right w:val="none" w:sz="0" w:space="0" w:color="auto"/>
      </w:divBdr>
      <w:divsChild>
        <w:div w:id="1109661010">
          <w:marLeft w:val="0"/>
          <w:marRight w:val="0"/>
          <w:marTop w:val="100"/>
          <w:marBottom w:val="0"/>
          <w:divBdr>
            <w:top w:val="none" w:sz="0" w:space="0" w:color="auto"/>
            <w:left w:val="none" w:sz="0" w:space="0" w:color="auto"/>
            <w:bottom w:val="none" w:sz="0" w:space="0" w:color="auto"/>
            <w:right w:val="none" w:sz="0" w:space="0" w:color="auto"/>
          </w:divBdr>
        </w:div>
        <w:div w:id="1056584594">
          <w:marLeft w:val="0"/>
          <w:marRight w:val="0"/>
          <w:marTop w:val="0"/>
          <w:marBottom w:val="0"/>
          <w:divBdr>
            <w:top w:val="none" w:sz="0" w:space="0" w:color="auto"/>
            <w:left w:val="none" w:sz="0" w:space="0" w:color="auto"/>
            <w:bottom w:val="none" w:sz="0" w:space="0" w:color="auto"/>
            <w:right w:val="none" w:sz="0" w:space="0" w:color="auto"/>
          </w:divBdr>
          <w:divsChild>
            <w:div w:id="861749187">
              <w:marLeft w:val="0"/>
              <w:marRight w:val="0"/>
              <w:marTop w:val="0"/>
              <w:marBottom w:val="0"/>
              <w:divBdr>
                <w:top w:val="none" w:sz="0" w:space="0" w:color="auto"/>
                <w:left w:val="none" w:sz="0" w:space="0" w:color="auto"/>
                <w:bottom w:val="none" w:sz="0" w:space="0" w:color="auto"/>
                <w:right w:val="none" w:sz="0" w:space="0" w:color="auto"/>
              </w:divBdr>
              <w:divsChild>
                <w:div w:id="20128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4368">
      <w:bodyDiv w:val="1"/>
      <w:marLeft w:val="0"/>
      <w:marRight w:val="0"/>
      <w:marTop w:val="0"/>
      <w:marBottom w:val="0"/>
      <w:divBdr>
        <w:top w:val="none" w:sz="0" w:space="0" w:color="auto"/>
        <w:left w:val="none" w:sz="0" w:space="0" w:color="auto"/>
        <w:bottom w:val="none" w:sz="0" w:space="0" w:color="auto"/>
        <w:right w:val="none" w:sz="0" w:space="0" w:color="auto"/>
      </w:divBdr>
    </w:div>
    <w:div w:id="300309531">
      <w:bodyDiv w:val="1"/>
      <w:marLeft w:val="0"/>
      <w:marRight w:val="0"/>
      <w:marTop w:val="0"/>
      <w:marBottom w:val="0"/>
      <w:divBdr>
        <w:top w:val="none" w:sz="0" w:space="0" w:color="auto"/>
        <w:left w:val="none" w:sz="0" w:space="0" w:color="auto"/>
        <w:bottom w:val="none" w:sz="0" w:space="0" w:color="auto"/>
        <w:right w:val="none" w:sz="0" w:space="0" w:color="auto"/>
      </w:divBdr>
    </w:div>
    <w:div w:id="352538263">
      <w:bodyDiv w:val="1"/>
      <w:marLeft w:val="0"/>
      <w:marRight w:val="0"/>
      <w:marTop w:val="0"/>
      <w:marBottom w:val="0"/>
      <w:divBdr>
        <w:top w:val="none" w:sz="0" w:space="0" w:color="auto"/>
        <w:left w:val="none" w:sz="0" w:space="0" w:color="auto"/>
        <w:bottom w:val="none" w:sz="0" w:space="0" w:color="auto"/>
        <w:right w:val="none" w:sz="0" w:space="0" w:color="auto"/>
      </w:divBdr>
    </w:div>
    <w:div w:id="357974875">
      <w:bodyDiv w:val="1"/>
      <w:marLeft w:val="0"/>
      <w:marRight w:val="0"/>
      <w:marTop w:val="0"/>
      <w:marBottom w:val="0"/>
      <w:divBdr>
        <w:top w:val="none" w:sz="0" w:space="0" w:color="auto"/>
        <w:left w:val="none" w:sz="0" w:space="0" w:color="auto"/>
        <w:bottom w:val="none" w:sz="0" w:space="0" w:color="auto"/>
        <w:right w:val="none" w:sz="0" w:space="0" w:color="auto"/>
      </w:divBdr>
    </w:div>
    <w:div w:id="370231261">
      <w:bodyDiv w:val="1"/>
      <w:marLeft w:val="0"/>
      <w:marRight w:val="0"/>
      <w:marTop w:val="0"/>
      <w:marBottom w:val="0"/>
      <w:divBdr>
        <w:top w:val="none" w:sz="0" w:space="0" w:color="auto"/>
        <w:left w:val="none" w:sz="0" w:space="0" w:color="auto"/>
        <w:bottom w:val="none" w:sz="0" w:space="0" w:color="auto"/>
        <w:right w:val="none" w:sz="0" w:space="0" w:color="auto"/>
      </w:divBdr>
    </w:div>
    <w:div w:id="404186818">
      <w:bodyDiv w:val="1"/>
      <w:marLeft w:val="0"/>
      <w:marRight w:val="0"/>
      <w:marTop w:val="0"/>
      <w:marBottom w:val="0"/>
      <w:divBdr>
        <w:top w:val="none" w:sz="0" w:space="0" w:color="auto"/>
        <w:left w:val="none" w:sz="0" w:space="0" w:color="auto"/>
        <w:bottom w:val="none" w:sz="0" w:space="0" w:color="auto"/>
        <w:right w:val="none" w:sz="0" w:space="0" w:color="auto"/>
      </w:divBdr>
    </w:div>
    <w:div w:id="418137287">
      <w:bodyDiv w:val="1"/>
      <w:marLeft w:val="0"/>
      <w:marRight w:val="0"/>
      <w:marTop w:val="0"/>
      <w:marBottom w:val="0"/>
      <w:divBdr>
        <w:top w:val="none" w:sz="0" w:space="0" w:color="auto"/>
        <w:left w:val="none" w:sz="0" w:space="0" w:color="auto"/>
        <w:bottom w:val="none" w:sz="0" w:space="0" w:color="auto"/>
        <w:right w:val="none" w:sz="0" w:space="0" w:color="auto"/>
      </w:divBdr>
    </w:div>
    <w:div w:id="459038933">
      <w:bodyDiv w:val="1"/>
      <w:marLeft w:val="0"/>
      <w:marRight w:val="0"/>
      <w:marTop w:val="0"/>
      <w:marBottom w:val="0"/>
      <w:divBdr>
        <w:top w:val="none" w:sz="0" w:space="0" w:color="auto"/>
        <w:left w:val="none" w:sz="0" w:space="0" w:color="auto"/>
        <w:bottom w:val="none" w:sz="0" w:space="0" w:color="auto"/>
        <w:right w:val="none" w:sz="0" w:space="0" w:color="auto"/>
      </w:divBdr>
    </w:div>
    <w:div w:id="529728330">
      <w:bodyDiv w:val="1"/>
      <w:marLeft w:val="0"/>
      <w:marRight w:val="0"/>
      <w:marTop w:val="0"/>
      <w:marBottom w:val="0"/>
      <w:divBdr>
        <w:top w:val="none" w:sz="0" w:space="0" w:color="auto"/>
        <w:left w:val="none" w:sz="0" w:space="0" w:color="auto"/>
        <w:bottom w:val="none" w:sz="0" w:space="0" w:color="auto"/>
        <w:right w:val="none" w:sz="0" w:space="0" w:color="auto"/>
      </w:divBdr>
    </w:div>
    <w:div w:id="567304890">
      <w:bodyDiv w:val="1"/>
      <w:marLeft w:val="0"/>
      <w:marRight w:val="0"/>
      <w:marTop w:val="0"/>
      <w:marBottom w:val="0"/>
      <w:divBdr>
        <w:top w:val="none" w:sz="0" w:space="0" w:color="auto"/>
        <w:left w:val="none" w:sz="0" w:space="0" w:color="auto"/>
        <w:bottom w:val="none" w:sz="0" w:space="0" w:color="auto"/>
        <w:right w:val="none" w:sz="0" w:space="0" w:color="auto"/>
      </w:divBdr>
    </w:div>
    <w:div w:id="606353841">
      <w:bodyDiv w:val="1"/>
      <w:marLeft w:val="0"/>
      <w:marRight w:val="0"/>
      <w:marTop w:val="0"/>
      <w:marBottom w:val="0"/>
      <w:divBdr>
        <w:top w:val="none" w:sz="0" w:space="0" w:color="auto"/>
        <w:left w:val="none" w:sz="0" w:space="0" w:color="auto"/>
        <w:bottom w:val="none" w:sz="0" w:space="0" w:color="auto"/>
        <w:right w:val="none" w:sz="0" w:space="0" w:color="auto"/>
      </w:divBdr>
    </w:div>
    <w:div w:id="613178009">
      <w:bodyDiv w:val="1"/>
      <w:marLeft w:val="0"/>
      <w:marRight w:val="0"/>
      <w:marTop w:val="0"/>
      <w:marBottom w:val="0"/>
      <w:divBdr>
        <w:top w:val="none" w:sz="0" w:space="0" w:color="auto"/>
        <w:left w:val="none" w:sz="0" w:space="0" w:color="auto"/>
        <w:bottom w:val="none" w:sz="0" w:space="0" w:color="auto"/>
        <w:right w:val="none" w:sz="0" w:space="0" w:color="auto"/>
      </w:divBdr>
    </w:div>
    <w:div w:id="645008414">
      <w:bodyDiv w:val="1"/>
      <w:marLeft w:val="0"/>
      <w:marRight w:val="0"/>
      <w:marTop w:val="0"/>
      <w:marBottom w:val="0"/>
      <w:divBdr>
        <w:top w:val="none" w:sz="0" w:space="0" w:color="auto"/>
        <w:left w:val="none" w:sz="0" w:space="0" w:color="auto"/>
        <w:bottom w:val="none" w:sz="0" w:space="0" w:color="auto"/>
        <w:right w:val="none" w:sz="0" w:space="0" w:color="auto"/>
      </w:divBdr>
    </w:div>
    <w:div w:id="650215103">
      <w:bodyDiv w:val="1"/>
      <w:marLeft w:val="0"/>
      <w:marRight w:val="0"/>
      <w:marTop w:val="0"/>
      <w:marBottom w:val="0"/>
      <w:divBdr>
        <w:top w:val="none" w:sz="0" w:space="0" w:color="auto"/>
        <w:left w:val="none" w:sz="0" w:space="0" w:color="auto"/>
        <w:bottom w:val="none" w:sz="0" w:space="0" w:color="auto"/>
        <w:right w:val="none" w:sz="0" w:space="0" w:color="auto"/>
      </w:divBdr>
    </w:div>
    <w:div w:id="688919552">
      <w:bodyDiv w:val="1"/>
      <w:marLeft w:val="0"/>
      <w:marRight w:val="0"/>
      <w:marTop w:val="0"/>
      <w:marBottom w:val="0"/>
      <w:divBdr>
        <w:top w:val="none" w:sz="0" w:space="0" w:color="auto"/>
        <w:left w:val="none" w:sz="0" w:space="0" w:color="auto"/>
        <w:bottom w:val="none" w:sz="0" w:space="0" w:color="auto"/>
        <w:right w:val="none" w:sz="0" w:space="0" w:color="auto"/>
      </w:divBdr>
    </w:div>
    <w:div w:id="692150148">
      <w:bodyDiv w:val="1"/>
      <w:marLeft w:val="0"/>
      <w:marRight w:val="0"/>
      <w:marTop w:val="0"/>
      <w:marBottom w:val="0"/>
      <w:divBdr>
        <w:top w:val="none" w:sz="0" w:space="0" w:color="auto"/>
        <w:left w:val="none" w:sz="0" w:space="0" w:color="auto"/>
        <w:bottom w:val="none" w:sz="0" w:space="0" w:color="auto"/>
        <w:right w:val="none" w:sz="0" w:space="0" w:color="auto"/>
      </w:divBdr>
    </w:div>
    <w:div w:id="705256957">
      <w:bodyDiv w:val="1"/>
      <w:marLeft w:val="0"/>
      <w:marRight w:val="0"/>
      <w:marTop w:val="0"/>
      <w:marBottom w:val="0"/>
      <w:divBdr>
        <w:top w:val="none" w:sz="0" w:space="0" w:color="auto"/>
        <w:left w:val="none" w:sz="0" w:space="0" w:color="auto"/>
        <w:bottom w:val="none" w:sz="0" w:space="0" w:color="auto"/>
        <w:right w:val="none" w:sz="0" w:space="0" w:color="auto"/>
      </w:divBdr>
    </w:div>
    <w:div w:id="731538191">
      <w:bodyDiv w:val="1"/>
      <w:marLeft w:val="0"/>
      <w:marRight w:val="0"/>
      <w:marTop w:val="0"/>
      <w:marBottom w:val="0"/>
      <w:divBdr>
        <w:top w:val="none" w:sz="0" w:space="0" w:color="auto"/>
        <w:left w:val="none" w:sz="0" w:space="0" w:color="auto"/>
        <w:bottom w:val="none" w:sz="0" w:space="0" w:color="auto"/>
        <w:right w:val="none" w:sz="0" w:space="0" w:color="auto"/>
      </w:divBdr>
    </w:div>
    <w:div w:id="754743052">
      <w:bodyDiv w:val="1"/>
      <w:marLeft w:val="0"/>
      <w:marRight w:val="0"/>
      <w:marTop w:val="0"/>
      <w:marBottom w:val="0"/>
      <w:divBdr>
        <w:top w:val="none" w:sz="0" w:space="0" w:color="auto"/>
        <w:left w:val="none" w:sz="0" w:space="0" w:color="auto"/>
        <w:bottom w:val="none" w:sz="0" w:space="0" w:color="auto"/>
        <w:right w:val="none" w:sz="0" w:space="0" w:color="auto"/>
      </w:divBdr>
      <w:divsChild>
        <w:div w:id="198015587">
          <w:marLeft w:val="0"/>
          <w:marRight w:val="0"/>
          <w:marTop w:val="100"/>
          <w:marBottom w:val="0"/>
          <w:divBdr>
            <w:top w:val="none" w:sz="0" w:space="0" w:color="auto"/>
            <w:left w:val="none" w:sz="0" w:space="0" w:color="auto"/>
            <w:bottom w:val="none" w:sz="0" w:space="0" w:color="auto"/>
            <w:right w:val="none" w:sz="0" w:space="0" w:color="auto"/>
          </w:divBdr>
        </w:div>
        <w:div w:id="460078927">
          <w:marLeft w:val="0"/>
          <w:marRight w:val="0"/>
          <w:marTop w:val="0"/>
          <w:marBottom w:val="0"/>
          <w:divBdr>
            <w:top w:val="none" w:sz="0" w:space="0" w:color="auto"/>
            <w:left w:val="none" w:sz="0" w:space="0" w:color="auto"/>
            <w:bottom w:val="none" w:sz="0" w:space="0" w:color="auto"/>
            <w:right w:val="none" w:sz="0" w:space="0" w:color="auto"/>
          </w:divBdr>
          <w:divsChild>
            <w:div w:id="333190420">
              <w:marLeft w:val="0"/>
              <w:marRight w:val="0"/>
              <w:marTop w:val="0"/>
              <w:marBottom w:val="0"/>
              <w:divBdr>
                <w:top w:val="none" w:sz="0" w:space="0" w:color="auto"/>
                <w:left w:val="none" w:sz="0" w:space="0" w:color="auto"/>
                <w:bottom w:val="none" w:sz="0" w:space="0" w:color="auto"/>
                <w:right w:val="none" w:sz="0" w:space="0" w:color="auto"/>
              </w:divBdr>
              <w:divsChild>
                <w:div w:id="2090223655">
                  <w:marLeft w:val="0"/>
                  <w:marRight w:val="0"/>
                  <w:marTop w:val="0"/>
                  <w:marBottom w:val="0"/>
                  <w:divBdr>
                    <w:top w:val="none" w:sz="0" w:space="0" w:color="auto"/>
                    <w:left w:val="none" w:sz="0" w:space="0" w:color="auto"/>
                    <w:bottom w:val="none" w:sz="0" w:space="0" w:color="auto"/>
                    <w:right w:val="none" w:sz="0" w:space="0" w:color="auto"/>
                  </w:divBdr>
                  <w:divsChild>
                    <w:div w:id="12258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10716">
          <w:marLeft w:val="0"/>
          <w:marRight w:val="0"/>
          <w:marTop w:val="0"/>
          <w:marBottom w:val="0"/>
          <w:divBdr>
            <w:top w:val="none" w:sz="0" w:space="0" w:color="auto"/>
            <w:left w:val="none" w:sz="0" w:space="0" w:color="auto"/>
            <w:bottom w:val="none" w:sz="0" w:space="0" w:color="auto"/>
            <w:right w:val="none" w:sz="0" w:space="0" w:color="auto"/>
          </w:divBdr>
          <w:divsChild>
            <w:div w:id="685137475">
              <w:marLeft w:val="0"/>
              <w:marRight w:val="0"/>
              <w:marTop w:val="0"/>
              <w:marBottom w:val="0"/>
              <w:divBdr>
                <w:top w:val="none" w:sz="0" w:space="0" w:color="auto"/>
                <w:left w:val="none" w:sz="0" w:space="0" w:color="auto"/>
                <w:bottom w:val="none" w:sz="0" w:space="0" w:color="auto"/>
                <w:right w:val="none" w:sz="0" w:space="0" w:color="auto"/>
              </w:divBdr>
              <w:divsChild>
                <w:div w:id="16817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4023">
      <w:bodyDiv w:val="1"/>
      <w:marLeft w:val="0"/>
      <w:marRight w:val="0"/>
      <w:marTop w:val="0"/>
      <w:marBottom w:val="0"/>
      <w:divBdr>
        <w:top w:val="none" w:sz="0" w:space="0" w:color="auto"/>
        <w:left w:val="none" w:sz="0" w:space="0" w:color="auto"/>
        <w:bottom w:val="none" w:sz="0" w:space="0" w:color="auto"/>
        <w:right w:val="none" w:sz="0" w:space="0" w:color="auto"/>
      </w:divBdr>
    </w:div>
    <w:div w:id="819464408">
      <w:bodyDiv w:val="1"/>
      <w:marLeft w:val="0"/>
      <w:marRight w:val="0"/>
      <w:marTop w:val="0"/>
      <w:marBottom w:val="0"/>
      <w:divBdr>
        <w:top w:val="none" w:sz="0" w:space="0" w:color="auto"/>
        <w:left w:val="none" w:sz="0" w:space="0" w:color="auto"/>
        <w:bottom w:val="none" w:sz="0" w:space="0" w:color="auto"/>
        <w:right w:val="none" w:sz="0" w:space="0" w:color="auto"/>
      </w:divBdr>
    </w:div>
    <w:div w:id="819734909">
      <w:bodyDiv w:val="1"/>
      <w:marLeft w:val="0"/>
      <w:marRight w:val="0"/>
      <w:marTop w:val="0"/>
      <w:marBottom w:val="0"/>
      <w:divBdr>
        <w:top w:val="none" w:sz="0" w:space="0" w:color="auto"/>
        <w:left w:val="none" w:sz="0" w:space="0" w:color="auto"/>
        <w:bottom w:val="none" w:sz="0" w:space="0" w:color="auto"/>
        <w:right w:val="none" w:sz="0" w:space="0" w:color="auto"/>
      </w:divBdr>
    </w:div>
    <w:div w:id="877662870">
      <w:bodyDiv w:val="1"/>
      <w:marLeft w:val="0"/>
      <w:marRight w:val="0"/>
      <w:marTop w:val="0"/>
      <w:marBottom w:val="0"/>
      <w:divBdr>
        <w:top w:val="none" w:sz="0" w:space="0" w:color="auto"/>
        <w:left w:val="none" w:sz="0" w:space="0" w:color="auto"/>
        <w:bottom w:val="none" w:sz="0" w:space="0" w:color="auto"/>
        <w:right w:val="none" w:sz="0" w:space="0" w:color="auto"/>
      </w:divBdr>
      <w:divsChild>
        <w:div w:id="1270506180">
          <w:marLeft w:val="0"/>
          <w:marRight w:val="0"/>
          <w:marTop w:val="0"/>
          <w:marBottom w:val="0"/>
          <w:divBdr>
            <w:top w:val="none" w:sz="0" w:space="0" w:color="auto"/>
            <w:left w:val="none" w:sz="0" w:space="0" w:color="auto"/>
            <w:bottom w:val="none" w:sz="0" w:space="0" w:color="auto"/>
            <w:right w:val="none" w:sz="0" w:space="0" w:color="auto"/>
          </w:divBdr>
          <w:divsChild>
            <w:div w:id="1338773456">
              <w:marLeft w:val="0"/>
              <w:marRight w:val="0"/>
              <w:marTop w:val="0"/>
              <w:marBottom w:val="0"/>
              <w:divBdr>
                <w:top w:val="none" w:sz="0" w:space="0" w:color="auto"/>
                <w:left w:val="none" w:sz="0" w:space="0" w:color="auto"/>
                <w:bottom w:val="none" w:sz="0" w:space="0" w:color="auto"/>
                <w:right w:val="none" w:sz="0" w:space="0" w:color="auto"/>
              </w:divBdr>
            </w:div>
            <w:div w:id="1028943578">
              <w:marLeft w:val="0"/>
              <w:marRight w:val="0"/>
              <w:marTop w:val="0"/>
              <w:marBottom w:val="0"/>
              <w:divBdr>
                <w:top w:val="none" w:sz="0" w:space="0" w:color="auto"/>
                <w:left w:val="none" w:sz="0" w:space="0" w:color="auto"/>
                <w:bottom w:val="none" w:sz="0" w:space="0" w:color="auto"/>
                <w:right w:val="none" w:sz="0" w:space="0" w:color="auto"/>
              </w:divBdr>
            </w:div>
          </w:divsChild>
        </w:div>
        <w:div w:id="1477333936">
          <w:marLeft w:val="0"/>
          <w:marRight w:val="0"/>
          <w:marTop w:val="0"/>
          <w:marBottom w:val="0"/>
          <w:divBdr>
            <w:top w:val="none" w:sz="0" w:space="0" w:color="auto"/>
            <w:left w:val="none" w:sz="0" w:space="0" w:color="auto"/>
            <w:bottom w:val="none" w:sz="0" w:space="0" w:color="auto"/>
            <w:right w:val="none" w:sz="0" w:space="0" w:color="auto"/>
          </w:divBdr>
          <w:divsChild>
            <w:div w:id="6726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789">
      <w:bodyDiv w:val="1"/>
      <w:marLeft w:val="0"/>
      <w:marRight w:val="0"/>
      <w:marTop w:val="0"/>
      <w:marBottom w:val="0"/>
      <w:divBdr>
        <w:top w:val="none" w:sz="0" w:space="0" w:color="auto"/>
        <w:left w:val="none" w:sz="0" w:space="0" w:color="auto"/>
        <w:bottom w:val="none" w:sz="0" w:space="0" w:color="auto"/>
        <w:right w:val="none" w:sz="0" w:space="0" w:color="auto"/>
      </w:divBdr>
      <w:divsChild>
        <w:div w:id="1625425821">
          <w:marLeft w:val="0"/>
          <w:marRight w:val="0"/>
          <w:marTop w:val="0"/>
          <w:marBottom w:val="0"/>
          <w:divBdr>
            <w:top w:val="none" w:sz="0" w:space="0" w:color="auto"/>
            <w:left w:val="none" w:sz="0" w:space="0" w:color="auto"/>
            <w:bottom w:val="none" w:sz="0" w:space="0" w:color="auto"/>
            <w:right w:val="none" w:sz="0" w:space="0" w:color="auto"/>
          </w:divBdr>
        </w:div>
      </w:divsChild>
    </w:div>
    <w:div w:id="896428416">
      <w:bodyDiv w:val="1"/>
      <w:marLeft w:val="0"/>
      <w:marRight w:val="0"/>
      <w:marTop w:val="0"/>
      <w:marBottom w:val="0"/>
      <w:divBdr>
        <w:top w:val="none" w:sz="0" w:space="0" w:color="auto"/>
        <w:left w:val="none" w:sz="0" w:space="0" w:color="auto"/>
        <w:bottom w:val="none" w:sz="0" w:space="0" w:color="auto"/>
        <w:right w:val="none" w:sz="0" w:space="0" w:color="auto"/>
      </w:divBdr>
      <w:divsChild>
        <w:div w:id="80027444">
          <w:marLeft w:val="0"/>
          <w:marRight w:val="0"/>
          <w:marTop w:val="100"/>
          <w:marBottom w:val="0"/>
          <w:divBdr>
            <w:top w:val="none" w:sz="0" w:space="0" w:color="auto"/>
            <w:left w:val="none" w:sz="0" w:space="0" w:color="auto"/>
            <w:bottom w:val="none" w:sz="0" w:space="0" w:color="auto"/>
            <w:right w:val="none" w:sz="0" w:space="0" w:color="auto"/>
          </w:divBdr>
        </w:div>
        <w:div w:id="1214079113">
          <w:marLeft w:val="0"/>
          <w:marRight w:val="0"/>
          <w:marTop w:val="0"/>
          <w:marBottom w:val="0"/>
          <w:divBdr>
            <w:top w:val="none" w:sz="0" w:space="0" w:color="auto"/>
            <w:left w:val="none" w:sz="0" w:space="0" w:color="auto"/>
            <w:bottom w:val="none" w:sz="0" w:space="0" w:color="auto"/>
            <w:right w:val="none" w:sz="0" w:space="0" w:color="auto"/>
          </w:divBdr>
          <w:divsChild>
            <w:div w:id="839471348">
              <w:marLeft w:val="0"/>
              <w:marRight w:val="0"/>
              <w:marTop w:val="0"/>
              <w:marBottom w:val="0"/>
              <w:divBdr>
                <w:top w:val="none" w:sz="0" w:space="0" w:color="auto"/>
                <w:left w:val="none" w:sz="0" w:space="0" w:color="auto"/>
                <w:bottom w:val="none" w:sz="0" w:space="0" w:color="auto"/>
                <w:right w:val="none" w:sz="0" w:space="0" w:color="auto"/>
              </w:divBdr>
              <w:divsChild>
                <w:div w:id="315963631">
                  <w:marLeft w:val="0"/>
                  <w:marRight w:val="0"/>
                  <w:marTop w:val="0"/>
                  <w:marBottom w:val="0"/>
                  <w:divBdr>
                    <w:top w:val="none" w:sz="0" w:space="0" w:color="auto"/>
                    <w:left w:val="none" w:sz="0" w:space="0" w:color="auto"/>
                    <w:bottom w:val="none" w:sz="0" w:space="0" w:color="auto"/>
                    <w:right w:val="none" w:sz="0" w:space="0" w:color="auto"/>
                  </w:divBdr>
                  <w:divsChild>
                    <w:div w:id="7300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6053">
          <w:marLeft w:val="0"/>
          <w:marRight w:val="0"/>
          <w:marTop w:val="0"/>
          <w:marBottom w:val="0"/>
          <w:divBdr>
            <w:top w:val="none" w:sz="0" w:space="0" w:color="auto"/>
            <w:left w:val="none" w:sz="0" w:space="0" w:color="auto"/>
            <w:bottom w:val="none" w:sz="0" w:space="0" w:color="auto"/>
            <w:right w:val="none" w:sz="0" w:space="0" w:color="auto"/>
          </w:divBdr>
          <w:divsChild>
            <w:div w:id="1163818608">
              <w:marLeft w:val="0"/>
              <w:marRight w:val="0"/>
              <w:marTop w:val="0"/>
              <w:marBottom w:val="0"/>
              <w:divBdr>
                <w:top w:val="none" w:sz="0" w:space="0" w:color="auto"/>
                <w:left w:val="none" w:sz="0" w:space="0" w:color="auto"/>
                <w:bottom w:val="none" w:sz="0" w:space="0" w:color="auto"/>
                <w:right w:val="none" w:sz="0" w:space="0" w:color="auto"/>
              </w:divBdr>
              <w:divsChild>
                <w:div w:id="4031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2846">
      <w:bodyDiv w:val="1"/>
      <w:marLeft w:val="0"/>
      <w:marRight w:val="0"/>
      <w:marTop w:val="0"/>
      <w:marBottom w:val="0"/>
      <w:divBdr>
        <w:top w:val="none" w:sz="0" w:space="0" w:color="auto"/>
        <w:left w:val="none" w:sz="0" w:space="0" w:color="auto"/>
        <w:bottom w:val="none" w:sz="0" w:space="0" w:color="auto"/>
        <w:right w:val="none" w:sz="0" w:space="0" w:color="auto"/>
      </w:divBdr>
    </w:div>
    <w:div w:id="918367160">
      <w:bodyDiv w:val="1"/>
      <w:marLeft w:val="0"/>
      <w:marRight w:val="0"/>
      <w:marTop w:val="0"/>
      <w:marBottom w:val="0"/>
      <w:divBdr>
        <w:top w:val="none" w:sz="0" w:space="0" w:color="auto"/>
        <w:left w:val="none" w:sz="0" w:space="0" w:color="auto"/>
        <w:bottom w:val="none" w:sz="0" w:space="0" w:color="auto"/>
        <w:right w:val="none" w:sz="0" w:space="0" w:color="auto"/>
      </w:divBdr>
    </w:div>
    <w:div w:id="925573176">
      <w:bodyDiv w:val="1"/>
      <w:marLeft w:val="0"/>
      <w:marRight w:val="0"/>
      <w:marTop w:val="0"/>
      <w:marBottom w:val="0"/>
      <w:divBdr>
        <w:top w:val="none" w:sz="0" w:space="0" w:color="auto"/>
        <w:left w:val="none" w:sz="0" w:space="0" w:color="auto"/>
        <w:bottom w:val="none" w:sz="0" w:space="0" w:color="auto"/>
        <w:right w:val="none" w:sz="0" w:space="0" w:color="auto"/>
      </w:divBdr>
      <w:divsChild>
        <w:div w:id="383523066">
          <w:marLeft w:val="0"/>
          <w:marRight w:val="0"/>
          <w:marTop w:val="0"/>
          <w:marBottom w:val="0"/>
          <w:divBdr>
            <w:top w:val="none" w:sz="0" w:space="0" w:color="auto"/>
            <w:left w:val="none" w:sz="0" w:space="0" w:color="auto"/>
            <w:bottom w:val="none" w:sz="0" w:space="0" w:color="auto"/>
            <w:right w:val="none" w:sz="0" w:space="0" w:color="auto"/>
          </w:divBdr>
        </w:div>
      </w:divsChild>
    </w:div>
    <w:div w:id="938291130">
      <w:bodyDiv w:val="1"/>
      <w:marLeft w:val="0"/>
      <w:marRight w:val="0"/>
      <w:marTop w:val="0"/>
      <w:marBottom w:val="0"/>
      <w:divBdr>
        <w:top w:val="none" w:sz="0" w:space="0" w:color="auto"/>
        <w:left w:val="none" w:sz="0" w:space="0" w:color="auto"/>
        <w:bottom w:val="none" w:sz="0" w:space="0" w:color="auto"/>
        <w:right w:val="none" w:sz="0" w:space="0" w:color="auto"/>
      </w:divBdr>
    </w:div>
    <w:div w:id="971062347">
      <w:bodyDiv w:val="1"/>
      <w:marLeft w:val="0"/>
      <w:marRight w:val="0"/>
      <w:marTop w:val="0"/>
      <w:marBottom w:val="0"/>
      <w:divBdr>
        <w:top w:val="none" w:sz="0" w:space="0" w:color="auto"/>
        <w:left w:val="none" w:sz="0" w:space="0" w:color="auto"/>
        <w:bottom w:val="none" w:sz="0" w:space="0" w:color="auto"/>
        <w:right w:val="none" w:sz="0" w:space="0" w:color="auto"/>
      </w:divBdr>
    </w:div>
    <w:div w:id="998849143">
      <w:bodyDiv w:val="1"/>
      <w:marLeft w:val="0"/>
      <w:marRight w:val="0"/>
      <w:marTop w:val="0"/>
      <w:marBottom w:val="0"/>
      <w:divBdr>
        <w:top w:val="none" w:sz="0" w:space="0" w:color="auto"/>
        <w:left w:val="none" w:sz="0" w:space="0" w:color="auto"/>
        <w:bottom w:val="none" w:sz="0" w:space="0" w:color="auto"/>
        <w:right w:val="none" w:sz="0" w:space="0" w:color="auto"/>
      </w:divBdr>
    </w:div>
    <w:div w:id="1080056072">
      <w:bodyDiv w:val="1"/>
      <w:marLeft w:val="0"/>
      <w:marRight w:val="0"/>
      <w:marTop w:val="0"/>
      <w:marBottom w:val="0"/>
      <w:divBdr>
        <w:top w:val="none" w:sz="0" w:space="0" w:color="auto"/>
        <w:left w:val="none" w:sz="0" w:space="0" w:color="auto"/>
        <w:bottom w:val="none" w:sz="0" w:space="0" w:color="auto"/>
        <w:right w:val="none" w:sz="0" w:space="0" w:color="auto"/>
      </w:divBdr>
    </w:div>
    <w:div w:id="1083145392">
      <w:bodyDiv w:val="1"/>
      <w:marLeft w:val="0"/>
      <w:marRight w:val="0"/>
      <w:marTop w:val="0"/>
      <w:marBottom w:val="0"/>
      <w:divBdr>
        <w:top w:val="none" w:sz="0" w:space="0" w:color="auto"/>
        <w:left w:val="none" w:sz="0" w:space="0" w:color="auto"/>
        <w:bottom w:val="none" w:sz="0" w:space="0" w:color="auto"/>
        <w:right w:val="none" w:sz="0" w:space="0" w:color="auto"/>
      </w:divBdr>
    </w:div>
    <w:div w:id="1107501314">
      <w:bodyDiv w:val="1"/>
      <w:marLeft w:val="0"/>
      <w:marRight w:val="0"/>
      <w:marTop w:val="0"/>
      <w:marBottom w:val="0"/>
      <w:divBdr>
        <w:top w:val="none" w:sz="0" w:space="0" w:color="auto"/>
        <w:left w:val="none" w:sz="0" w:space="0" w:color="auto"/>
        <w:bottom w:val="none" w:sz="0" w:space="0" w:color="auto"/>
        <w:right w:val="none" w:sz="0" w:space="0" w:color="auto"/>
      </w:divBdr>
    </w:div>
    <w:div w:id="1108621687">
      <w:bodyDiv w:val="1"/>
      <w:marLeft w:val="0"/>
      <w:marRight w:val="0"/>
      <w:marTop w:val="0"/>
      <w:marBottom w:val="0"/>
      <w:divBdr>
        <w:top w:val="none" w:sz="0" w:space="0" w:color="auto"/>
        <w:left w:val="none" w:sz="0" w:space="0" w:color="auto"/>
        <w:bottom w:val="none" w:sz="0" w:space="0" w:color="auto"/>
        <w:right w:val="none" w:sz="0" w:space="0" w:color="auto"/>
      </w:divBdr>
    </w:div>
    <w:div w:id="1108890233">
      <w:bodyDiv w:val="1"/>
      <w:marLeft w:val="0"/>
      <w:marRight w:val="0"/>
      <w:marTop w:val="0"/>
      <w:marBottom w:val="0"/>
      <w:divBdr>
        <w:top w:val="none" w:sz="0" w:space="0" w:color="auto"/>
        <w:left w:val="none" w:sz="0" w:space="0" w:color="auto"/>
        <w:bottom w:val="none" w:sz="0" w:space="0" w:color="auto"/>
        <w:right w:val="none" w:sz="0" w:space="0" w:color="auto"/>
      </w:divBdr>
      <w:divsChild>
        <w:div w:id="335231659">
          <w:marLeft w:val="0"/>
          <w:marRight w:val="0"/>
          <w:marTop w:val="100"/>
          <w:marBottom w:val="0"/>
          <w:divBdr>
            <w:top w:val="none" w:sz="0" w:space="0" w:color="auto"/>
            <w:left w:val="none" w:sz="0" w:space="0" w:color="auto"/>
            <w:bottom w:val="none" w:sz="0" w:space="0" w:color="auto"/>
            <w:right w:val="none" w:sz="0" w:space="0" w:color="auto"/>
          </w:divBdr>
        </w:div>
        <w:div w:id="651912014">
          <w:marLeft w:val="0"/>
          <w:marRight w:val="0"/>
          <w:marTop w:val="0"/>
          <w:marBottom w:val="0"/>
          <w:divBdr>
            <w:top w:val="none" w:sz="0" w:space="0" w:color="auto"/>
            <w:left w:val="none" w:sz="0" w:space="0" w:color="auto"/>
            <w:bottom w:val="none" w:sz="0" w:space="0" w:color="auto"/>
            <w:right w:val="none" w:sz="0" w:space="0" w:color="auto"/>
          </w:divBdr>
          <w:divsChild>
            <w:div w:id="1497915233">
              <w:marLeft w:val="0"/>
              <w:marRight w:val="0"/>
              <w:marTop w:val="0"/>
              <w:marBottom w:val="0"/>
              <w:divBdr>
                <w:top w:val="none" w:sz="0" w:space="0" w:color="auto"/>
                <w:left w:val="none" w:sz="0" w:space="0" w:color="auto"/>
                <w:bottom w:val="none" w:sz="0" w:space="0" w:color="auto"/>
                <w:right w:val="none" w:sz="0" w:space="0" w:color="auto"/>
              </w:divBdr>
              <w:divsChild>
                <w:div w:id="14465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30151">
      <w:bodyDiv w:val="1"/>
      <w:marLeft w:val="0"/>
      <w:marRight w:val="0"/>
      <w:marTop w:val="0"/>
      <w:marBottom w:val="0"/>
      <w:divBdr>
        <w:top w:val="none" w:sz="0" w:space="0" w:color="auto"/>
        <w:left w:val="none" w:sz="0" w:space="0" w:color="auto"/>
        <w:bottom w:val="none" w:sz="0" w:space="0" w:color="auto"/>
        <w:right w:val="none" w:sz="0" w:space="0" w:color="auto"/>
      </w:divBdr>
      <w:divsChild>
        <w:div w:id="473639629">
          <w:marLeft w:val="0"/>
          <w:marRight w:val="0"/>
          <w:marTop w:val="0"/>
          <w:marBottom w:val="0"/>
          <w:divBdr>
            <w:top w:val="none" w:sz="0" w:space="0" w:color="auto"/>
            <w:left w:val="none" w:sz="0" w:space="0" w:color="auto"/>
            <w:bottom w:val="none" w:sz="0" w:space="0" w:color="auto"/>
            <w:right w:val="none" w:sz="0" w:space="0" w:color="auto"/>
          </w:divBdr>
        </w:div>
      </w:divsChild>
    </w:div>
    <w:div w:id="1131752418">
      <w:bodyDiv w:val="1"/>
      <w:marLeft w:val="0"/>
      <w:marRight w:val="0"/>
      <w:marTop w:val="0"/>
      <w:marBottom w:val="0"/>
      <w:divBdr>
        <w:top w:val="none" w:sz="0" w:space="0" w:color="auto"/>
        <w:left w:val="none" w:sz="0" w:space="0" w:color="auto"/>
        <w:bottom w:val="none" w:sz="0" w:space="0" w:color="auto"/>
        <w:right w:val="none" w:sz="0" w:space="0" w:color="auto"/>
      </w:divBdr>
      <w:divsChild>
        <w:div w:id="598637232">
          <w:marLeft w:val="0"/>
          <w:marRight w:val="0"/>
          <w:marTop w:val="0"/>
          <w:marBottom w:val="0"/>
          <w:divBdr>
            <w:top w:val="none" w:sz="0" w:space="0" w:color="auto"/>
            <w:left w:val="none" w:sz="0" w:space="0" w:color="auto"/>
            <w:bottom w:val="none" w:sz="0" w:space="0" w:color="auto"/>
            <w:right w:val="none" w:sz="0" w:space="0" w:color="auto"/>
          </w:divBdr>
          <w:divsChild>
            <w:div w:id="1416320577">
              <w:marLeft w:val="0"/>
              <w:marRight w:val="0"/>
              <w:marTop w:val="0"/>
              <w:marBottom w:val="0"/>
              <w:divBdr>
                <w:top w:val="none" w:sz="0" w:space="0" w:color="auto"/>
                <w:left w:val="none" w:sz="0" w:space="0" w:color="auto"/>
                <w:bottom w:val="none" w:sz="0" w:space="0" w:color="auto"/>
                <w:right w:val="none" w:sz="0" w:space="0" w:color="auto"/>
              </w:divBdr>
            </w:div>
            <w:div w:id="599871768">
              <w:marLeft w:val="0"/>
              <w:marRight w:val="0"/>
              <w:marTop w:val="0"/>
              <w:marBottom w:val="0"/>
              <w:divBdr>
                <w:top w:val="none" w:sz="0" w:space="0" w:color="auto"/>
                <w:left w:val="none" w:sz="0" w:space="0" w:color="auto"/>
                <w:bottom w:val="none" w:sz="0" w:space="0" w:color="auto"/>
                <w:right w:val="none" w:sz="0" w:space="0" w:color="auto"/>
              </w:divBdr>
            </w:div>
          </w:divsChild>
        </w:div>
        <w:div w:id="507674206">
          <w:marLeft w:val="0"/>
          <w:marRight w:val="0"/>
          <w:marTop w:val="0"/>
          <w:marBottom w:val="0"/>
          <w:divBdr>
            <w:top w:val="none" w:sz="0" w:space="0" w:color="auto"/>
            <w:left w:val="none" w:sz="0" w:space="0" w:color="auto"/>
            <w:bottom w:val="none" w:sz="0" w:space="0" w:color="auto"/>
            <w:right w:val="none" w:sz="0" w:space="0" w:color="auto"/>
          </w:divBdr>
          <w:divsChild>
            <w:div w:id="1714619152">
              <w:marLeft w:val="0"/>
              <w:marRight w:val="0"/>
              <w:marTop w:val="0"/>
              <w:marBottom w:val="0"/>
              <w:divBdr>
                <w:top w:val="none" w:sz="0" w:space="0" w:color="auto"/>
                <w:left w:val="none" w:sz="0" w:space="0" w:color="auto"/>
                <w:bottom w:val="none" w:sz="0" w:space="0" w:color="auto"/>
                <w:right w:val="none" w:sz="0" w:space="0" w:color="auto"/>
              </w:divBdr>
            </w:div>
            <w:div w:id="20705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8884">
      <w:bodyDiv w:val="1"/>
      <w:marLeft w:val="0"/>
      <w:marRight w:val="0"/>
      <w:marTop w:val="0"/>
      <w:marBottom w:val="0"/>
      <w:divBdr>
        <w:top w:val="none" w:sz="0" w:space="0" w:color="auto"/>
        <w:left w:val="none" w:sz="0" w:space="0" w:color="auto"/>
        <w:bottom w:val="none" w:sz="0" w:space="0" w:color="auto"/>
        <w:right w:val="none" w:sz="0" w:space="0" w:color="auto"/>
      </w:divBdr>
    </w:div>
    <w:div w:id="1183935279">
      <w:bodyDiv w:val="1"/>
      <w:marLeft w:val="0"/>
      <w:marRight w:val="0"/>
      <w:marTop w:val="0"/>
      <w:marBottom w:val="0"/>
      <w:divBdr>
        <w:top w:val="none" w:sz="0" w:space="0" w:color="auto"/>
        <w:left w:val="none" w:sz="0" w:space="0" w:color="auto"/>
        <w:bottom w:val="none" w:sz="0" w:space="0" w:color="auto"/>
        <w:right w:val="none" w:sz="0" w:space="0" w:color="auto"/>
      </w:divBdr>
      <w:divsChild>
        <w:div w:id="520700692">
          <w:marLeft w:val="0"/>
          <w:marRight w:val="0"/>
          <w:marTop w:val="100"/>
          <w:marBottom w:val="0"/>
          <w:divBdr>
            <w:top w:val="none" w:sz="0" w:space="0" w:color="auto"/>
            <w:left w:val="none" w:sz="0" w:space="0" w:color="auto"/>
            <w:bottom w:val="none" w:sz="0" w:space="0" w:color="auto"/>
            <w:right w:val="none" w:sz="0" w:space="0" w:color="auto"/>
          </w:divBdr>
          <w:divsChild>
            <w:div w:id="882594209">
              <w:marLeft w:val="0"/>
              <w:marRight w:val="0"/>
              <w:marTop w:val="60"/>
              <w:marBottom w:val="0"/>
              <w:divBdr>
                <w:top w:val="none" w:sz="0" w:space="0" w:color="auto"/>
                <w:left w:val="none" w:sz="0" w:space="0" w:color="auto"/>
                <w:bottom w:val="none" w:sz="0" w:space="0" w:color="auto"/>
                <w:right w:val="none" w:sz="0" w:space="0" w:color="auto"/>
              </w:divBdr>
            </w:div>
          </w:divsChild>
        </w:div>
        <w:div w:id="2059157610">
          <w:marLeft w:val="0"/>
          <w:marRight w:val="0"/>
          <w:marTop w:val="0"/>
          <w:marBottom w:val="0"/>
          <w:divBdr>
            <w:top w:val="none" w:sz="0" w:space="0" w:color="auto"/>
            <w:left w:val="none" w:sz="0" w:space="0" w:color="auto"/>
            <w:bottom w:val="none" w:sz="0" w:space="0" w:color="auto"/>
            <w:right w:val="none" w:sz="0" w:space="0" w:color="auto"/>
          </w:divBdr>
          <w:divsChild>
            <w:div w:id="1654136947">
              <w:marLeft w:val="0"/>
              <w:marRight w:val="0"/>
              <w:marTop w:val="0"/>
              <w:marBottom w:val="0"/>
              <w:divBdr>
                <w:top w:val="none" w:sz="0" w:space="0" w:color="auto"/>
                <w:left w:val="none" w:sz="0" w:space="0" w:color="auto"/>
                <w:bottom w:val="none" w:sz="0" w:space="0" w:color="auto"/>
                <w:right w:val="none" w:sz="0" w:space="0" w:color="auto"/>
              </w:divBdr>
              <w:divsChild>
                <w:div w:id="306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8514">
      <w:bodyDiv w:val="1"/>
      <w:marLeft w:val="0"/>
      <w:marRight w:val="0"/>
      <w:marTop w:val="0"/>
      <w:marBottom w:val="0"/>
      <w:divBdr>
        <w:top w:val="none" w:sz="0" w:space="0" w:color="auto"/>
        <w:left w:val="none" w:sz="0" w:space="0" w:color="auto"/>
        <w:bottom w:val="none" w:sz="0" w:space="0" w:color="auto"/>
        <w:right w:val="none" w:sz="0" w:space="0" w:color="auto"/>
      </w:divBdr>
    </w:div>
    <w:div w:id="1232043164">
      <w:bodyDiv w:val="1"/>
      <w:marLeft w:val="0"/>
      <w:marRight w:val="0"/>
      <w:marTop w:val="0"/>
      <w:marBottom w:val="0"/>
      <w:divBdr>
        <w:top w:val="none" w:sz="0" w:space="0" w:color="auto"/>
        <w:left w:val="none" w:sz="0" w:space="0" w:color="auto"/>
        <w:bottom w:val="none" w:sz="0" w:space="0" w:color="auto"/>
        <w:right w:val="none" w:sz="0" w:space="0" w:color="auto"/>
      </w:divBdr>
    </w:div>
    <w:div w:id="1247223544">
      <w:bodyDiv w:val="1"/>
      <w:marLeft w:val="0"/>
      <w:marRight w:val="0"/>
      <w:marTop w:val="0"/>
      <w:marBottom w:val="0"/>
      <w:divBdr>
        <w:top w:val="none" w:sz="0" w:space="0" w:color="auto"/>
        <w:left w:val="none" w:sz="0" w:space="0" w:color="auto"/>
        <w:bottom w:val="none" w:sz="0" w:space="0" w:color="auto"/>
        <w:right w:val="none" w:sz="0" w:space="0" w:color="auto"/>
      </w:divBdr>
    </w:div>
    <w:div w:id="1253590066">
      <w:bodyDiv w:val="1"/>
      <w:marLeft w:val="0"/>
      <w:marRight w:val="0"/>
      <w:marTop w:val="0"/>
      <w:marBottom w:val="0"/>
      <w:divBdr>
        <w:top w:val="none" w:sz="0" w:space="0" w:color="auto"/>
        <w:left w:val="none" w:sz="0" w:space="0" w:color="auto"/>
        <w:bottom w:val="none" w:sz="0" w:space="0" w:color="auto"/>
        <w:right w:val="none" w:sz="0" w:space="0" w:color="auto"/>
      </w:divBdr>
    </w:div>
    <w:div w:id="1254320128">
      <w:bodyDiv w:val="1"/>
      <w:marLeft w:val="0"/>
      <w:marRight w:val="0"/>
      <w:marTop w:val="0"/>
      <w:marBottom w:val="0"/>
      <w:divBdr>
        <w:top w:val="none" w:sz="0" w:space="0" w:color="auto"/>
        <w:left w:val="none" w:sz="0" w:space="0" w:color="auto"/>
        <w:bottom w:val="none" w:sz="0" w:space="0" w:color="auto"/>
        <w:right w:val="none" w:sz="0" w:space="0" w:color="auto"/>
      </w:divBdr>
      <w:divsChild>
        <w:div w:id="745734434">
          <w:marLeft w:val="0"/>
          <w:marRight w:val="0"/>
          <w:marTop w:val="100"/>
          <w:marBottom w:val="0"/>
          <w:divBdr>
            <w:top w:val="none" w:sz="0" w:space="0" w:color="auto"/>
            <w:left w:val="none" w:sz="0" w:space="0" w:color="auto"/>
            <w:bottom w:val="none" w:sz="0" w:space="0" w:color="auto"/>
            <w:right w:val="none" w:sz="0" w:space="0" w:color="auto"/>
          </w:divBdr>
        </w:div>
        <w:div w:id="1623272001">
          <w:marLeft w:val="0"/>
          <w:marRight w:val="0"/>
          <w:marTop w:val="0"/>
          <w:marBottom w:val="0"/>
          <w:divBdr>
            <w:top w:val="none" w:sz="0" w:space="0" w:color="auto"/>
            <w:left w:val="none" w:sz="0" w:space="0" w:color="auto"/>
            <w:bottom w:val="none" w:sz="0" w:space="0" w:color="auto"/>
            <w:right w:val="none" w:sz="0" w:space="0" w:color="auto"/>
          </w:divBdr>
          <w:divsChild>
            <w:div w:id="1935937823">
              <w:marLeft w:val="0"/>
              <w:marRight w:val="0"/>
              <w:marTop w:val="0"/>
              <w:marBottom w:val="0"/>
              <w:divBdr>
                <w:top w:val="none" w:sz="0" w:space="0" w:color="auto"/>
                <w:left w:val="none" w:sz="0" w:space="0" w:color="auto"/>
                <w:bottom w:val="none" w:sz="0" w:space="0" w:color="auto"/>
                <w:right w:val="none" w:sz="0" w:space="0" w:color="auto"/>
              </w:divBdr>
              <w:divsChild>
                <w:div w:id="446199749">
                  <w:marLeft w:val="0"/>
                  <w:marRight w:val="0"/>
                  <w:marTop w:val="0"/>
                  <w:marBottom w:val="0"/>
                  <w:divBdr>
                    <w:top w:val="none" w:sz="0" w:space="0" w:color="auto"/>
                    <w:left w:val="none" w:sz="0" w:space="0" w:color="auto"/>
                    <w:bottom w:val="none" w:sz="0" w:space="0" w:color="auto"/>
                    <w:right w:val="none" w:sz="0" w:space="0" w:color="auto"/>
                  </w:divBdr>
                  <w:divsChild>
                    <w:div w:id="2754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2812">
          <w:marLeft w:val="0"/>
          <w:marRight w:val="0"/>
          <w:marTop w:val="0"/>
          <w:marBottom w:val="0"/>
          <w:divBdr>
            <w:top w:val="none" w:sz="0" w:space="0" w:color="auto"/>
            <w:left w:val="none" w:sz="0" w:space="0" w:color="auto"/>
            <w:bottom w:val="none" w:sz="0" w:space="0" w:color="auto"/>
            <w:right w:val="none" w:sz="0" w:space="0" w:color="auto"/>
          </w:divBdr>
          <w:divsChild>
            <w:div w:id="847065726">
              <w:marLeft w:val="0"/>
              <w:marRight w:val="0"/>
              <w:marTop w:val="0"/>
              <w:marBottom w:val="0"/>
              <w:divBdr>
                <w:top w:val="none" w:sz="0" w:space="0" w:color="auto"/>
                <w:left w:val="none" w:sz="0" w:space="0" w:color="auto"/>
                <w:bottom w:val="none" w:sz="0" w:space="0" w:color="auto"/>
                <w:right w:val="none" w:sz="0" w:space="0" w:color="auto"/>
              </w:divBdr>
              <w:divsChild>
                <w:div w:id="736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0027">
      <w:bodyDiv w:val="1"/>
      <w:marLeft w:val="0"/>
      <w:marRight w:val="0"/>
      <w:marTop w:val="0"/>
      <w:marBottom w:val="0"/>
      <w:divBdr>
        <w:top w:val="none" w:sz="0" w:space="0" w:color="auto"/>
        <w:left w:val="none" w:sz="0" w:space="0" w:color="auto"/>
        <w:bottom w:val="none" w:sz="0" w:space="0" w:color="auto"/>
        <w:right w:val="none" w:sz="0" w:space="0" w:color="auto"/>
      </w:divBdr>
      <w:divsChild>
        <w:div w:id="1148132842">
          <w:marLeft w:val="0"/>
          <w:marRight w:val="0"/>
          <w:marTop w:val="100"/>
          <w:marBottom w:val="0"/>
          <w:divBdr>
            <w:top w:val="none" w:sz="0" w:space="0" w:color="auto"/>
            <w:left w:val="none" w:sz="0" w:space="0" w:color="auto"/>
            <w:bottom w:val="none" w:sz="0" w:space="0" w:color="auto"/>
            <w:right w:val="none" w:sz="0" w:space="0" w:color="auto"/>
          </w:divBdr>
        </w:div>
        <w:div w:id="165098795">
          <w:marLeft w:val="0"/>
          <w:marRight w:val="0"/>
          <w:marTop w:val="0"/>
          <w:marBottom w:val="0"/>
          <w:divBdr>
            <w:top w:val="none" w:sz="0" w:space="0" w:color="auto"/>
            <w:left w:val="none" w:sz="0" w:space="0" w:color="auto"/>
            <w:bottom w:val="none" w:sz="0" w:space="0" w:color="auto"/>
            <w:right w:val="none" w:sz="0" w:space="0" w:color="auto"/>
          </w:divBdr>
          <w:divsChild>
            <w:div w:id="1731003179">
              <w:marLeft w:val="0"/>
              <w:marRight w:val="0"/>
              <w:marTop w:val="0"/>
              <w:marBottom w:val="0"/>
              <w:divBdr>
                <w:top w:val="none" w:sz="0" w:space="0" w:color="auto"/>
                <w:left w:val="none" w:sz="0" w:space="0" w:color="auto"/>
                <w:bottom w:val="none" w:sz="0" w:space="0" w:color="auto"/>
                <w:right w:val="none" w:sz="0" w:space="0" w:color="auto"/>
              </w:divBdr>
              <w:divsChild>
                <w:div w:id="4428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8390">
      <w:bodyDiv w:val="1"/>
      <w:marLeft w:val="0"/>
      <w:marRight w:val="0"/>
      <w:marTop w:val="0"/>
      <w:marBottom w:val="0"/>
      <w:divBdr>
        <w:top w:val="none" w:sz="0" w:space="0" w:color="auto"/>
        <w:left w:val="none" w:sz="0" w:space="0" w:color="auto"/>
        <w:bottom w:val="none" w:sz="0" w:space="0" w:color="auto"/>
        <w:right w:val="none" w:sz="0" w:space="0" w:color="auto"/>
      </w:divBdr>
      <w:divsChild>
        <w:div w:id="2119443318">
          <w:marLeft w:val="0"/>
          <w:marRight w:val="0"/>
          <w:marTop w:val="0"/>
          <w:marBottom w:val="0"/>
          <w:divBdr>
            <w:top w:val="none" w:sz="0" w:space="0" w:color="auto"/>
            <w:left w:val="none" w:sz="0" w:space="0" w:color="auto"/>
            <w:bottom w:val="none" w:sz="0" w:space="0" w:color="auto"/>
            <w:right w:val="none" w:sz="0" w:space="0" w:color="auto"/>
          </w:divBdr>
        </w:div>
      </w:divsChild>
    </w:div>
    <w:div w:id="1267732083">
      <w:bodyDiv w:val="1"/>
      <w:marLeft w:val="0"/>
      <w:marRight w:val="0"/>
      <w:marTop w:val="0"/>
      <w:marBottom w:val="0"/>
      <w:divBdr>
        <w:top w:val="none" w:sz="0" w:space="0" w:color="auto"/>
        <w:left w:val="none" w:sz="0" w:space="0" w:color="auto"/>
        <w:bottom w:val="none" w:sz="0" w:space="0" w:color="auto"/>
        <w:right w:val="none" w:sz="0" w:space="0" w:color="auto"/>
      </w:divBdr>
    </w:div>
    <w:div w:id="1303537334">
      <w:bodyDiv w:val="1"/>
      <w:marLeft w:val="0"/>
      <w:marRight w:val="0"/>
      <w:marTop w:val="0"/>
      <w:marBottom w:val="0"/>
      <w:divBdr>
        <w:top w:val="none" w:sz="0" w:space="0" w:color="auto"/>
        <w:left w:val="none" w:sz="0" w:space="0" w:color="auto"/>
        <w:bottom w:val="none" w:sz="0" w:space="0" w:color="auto"/>
        <w:right w:val="none" w:sz="0" w:space="0" w:color="auto"/>
      </w:divBdr>
    </w:div>
    <w:div w:id="1390497190">
      <w:bodyDiv w:val="1"/>
      <w:marLeft w:val="0"/>
      <w:marRight w:val="0"/>
      <w:marTop w:val="0"/>
      <w:marBottom w:val="0"/>
      <w:divBdr>
        <w:top w:val="none" w:sz="0" w:space="0" w:color="auto"/>
        <w:left w:val="none" w:sz="0" w:space="0" w:color="auto"/>
        <w:bottom w:val="none" w:sz="0" w:space="0" w:color="auto"/>
        <w:right w:val="none" w:sz="0" w:space="0" w:color="auto"/>
      </w:divBdr>
    </w:div>
    <w:div w:id="1429765779">
      <w:bodyDiv w:val="1"/>
      <w:marLeft w:val="0"/>
      <w:marRight w:val="0"/>
      <w:marTop w:val="0"/>
      <w:marBottom w:val="0"/>
      <w:divBdr>
        <w:top w:val="none" w:sz="0" w:space="0" w:color="auto"/>
        <w:left w:val="none" w:sz="0" w:space="0" w:color="auto"/>
        <w:bottom w:val="none" w:sz="0" w:space="0" w:color="auto"/>
        <w:right w:val="none" w:sz="0" w:space="0" w:color="auto"/>
      </w:divBdr>
    </w:div>
    <w:div w:id="1434127627">
      <w:bodyDiv w:val="1"/>
      <w:marLeft w:val="400"/>
      <w:marRight w:val="400"/>
      <w:marTop w:val="120"/>
      <w:marBottom w:val="0"/>
      <w:divBdr>
        <w:top w:val="none" w:sz="0" w:space="0" w:color="auto"/>
        <w:left w:val="none" w:sz="0" w:space="0" w:color="auto"/>
        <w:bottom w:val="none" w:sz="0" w:space="0" w:color="auto"/>
        <w:right w:val="none" w:sz="0" w:space="0" w:color="auto"/>
      </w:divBdr>
      <w:divsChild>
        <w:div w:id="107167333">
          <w:marLeft w:val="0"/>
          <w:marRight w:val="0"/>
          <w:marTop w:val="0"/>
          <w:marBottom w:val="0"/>
          <w:divBdr>
            <w:top w:val="none" w:sz="0" w:space="0" w:color="auto"/>
            <w:left w:val="none" w:sz="0" w:space="0" w:color="auto"/>
            <w:bottom w:val="none" w:sz="0" w:space="0" w:color="auto"/>
            <w:right w:val="none" w:sz="0" w:space="0" w:color="auto"/>
          </w:divBdr>
          <w:divsChild>
            <w:div w:id="21329667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7387139">
      <w:bodyDiv w:val="1"/>
      <w:marLeft w:val="0"/>
      <w:marRight w:val="0"/>
      <w:marTop w:val="0"/>
      <w:marBottom w:val="0"/>
      <w:divBdr>
        <w:top w:val="none" w:sz="0" w:space="0" w:color="auto"/>
        <w:left w:val="none" w:sz="0" w:space="0" w:color="auto"/>
        <w:bottom w:val="none" w:sz="0" w:space="0" w:color="auto"/>
        <w:right w:val="none" w:sz="0" w:space="0" w:color="auto"/>
      </w:divBdr>
    </w:div>
    <w:div w:id="1452746377">
      <w:bodyDiv w:val="1"/>
      <w:marLeft w:val="0"/>
      <w:marRight w:val="0"/>
      <w:marTop w:val="0"/>
      <w:marBottom w:val="0"/>
      <w:divBdr>
        <w:top w:val="none" w:sz="0" w:space="0" w:color="auto"/>
        <w:left w:val="none" w:sz="0" w:space="0" w:color="auto"/>
        <w:bottom w:val="none" w:sz="0" w:space="0" w:color="auto"/>
        <w:right w:val="none" w:sz="0" w:space="0" w:color="auto"/>
      </w:divBdr>
    </w:div>
    <w:div w:id="1458261713">
      <w:bodyDiv w:val="1"/>
      <w:marLeft w:val="0"/>
      <w:marRight w:val="0"/>
      <w:marTop w:val="0"/>
      <w:marBottom w:val="0"/>
      <w:divBdr>
        <w:top w:val="none" w:sz="0" w:space="0" w:color="auto"/>
        <w:left w:val="none" w:sz="0" w:space="0" w:color="auto"/>
        <w:bottom w:val="none" w:sz="0" w:space="0" w:color="auto"/>
        <w:right w:val="none" w:sz="0" w:space="0" w:color="auto"/>
      </w:divBdr>
    </w:div>
    <w:div w:id="1481457108">
      <w:bodyDiv w:val="1"/>
      <w:marLeft w:val="0"/>
      <w:marRight w:val="0"/>
      <w:marTop w:val="0"/>
      <w:marBottom w:val="0"/>
      <w:divBdr>
        <w:top w:val="none" w:sz="0" w:space="0" w:color="auto"/>
        <w:left w:val="none" w:sz="0" w:space="0" w:color="auto"/>
        <w:bottom w:val="none" w:sz="0" w:space="0" w:color="auto"/>
        <w:right w:val="none" w:sz="0" w:space="0" w:color="auto"/>
      </w:divBdr>
    </w:div>
    <w:div w:id="1503543671">
      <w:bodyDiv w:val="1"/>
      <w:marLeft w:val="0"/>
      <w:marRight w:val="0"/>
      <w:marTop w:val="0"/>
      <w:marBottom w:val="0"/>
      <w:divBdr>
        <w:top w:val="none" w:sz="0" w:space="0" w:color="auto"/>
        <w:left w:val="none" w:sz="0" w:space="0" w:color="auto"/>
        <w:bottom w:val="none" w:sz="0" w:space="0" w:color="auto"/>
        <w:right w:val="none" w:sz="0" w:space="0" w:color="auto"/>
      </w:divBdr>
      <w:divsChild>
        <w:div w:id="1616407259">
          <w:marLeft w:val="0"/>
          <w:marRight w:val="0"/>
          <w:marTop w:val="100"/>
          <w:marBottom w:val="0"/>
          <w:divBdr>
            <w:top w:val="none" w:sz="0" w:space="0" w:color="auto"/>
            <w:left w:val="none" w:sz="0" w:space="0" w:color="auto"/>
            <w:bottom w:val="none" w:sz="0" w:space="0" w:color="auto"/>
            <w:right w:val="none" w:sz="0" w:space="0" w:color="auto"/>
          </w:divBdr>
        </w:div>
        <w:div w:id="1961573319">
          <w:marLeft w:val="0"/>
          <w:marRight w:val="0"/>
          <w:marTop w:val="0"/>
          <w:marBottom w:val="0"/>
          <w:divBdr>
            <w:top w:val="none" w:sz="0" w:space="0" w:color="auto"/>
            <w:left w:val="none" w:sz="0" w:space="0" w:color="auto"/>
            <w:bottom w:val="none" w:sz="0" w:space="0" w:color="auto"/>
            <w:right w:val="none" w:sz="0" w:space="0" w:color="auto"/>
          </w:divBdr>
          <w:divsChild>
            <w:div w:id="93333203">
              <w:marLeft w:val="0"/>
              <w:marRight w:val="0"/>
              <w:marTop w:val="0"/>
              <w:marBottom w:val="0"/>
              <w:divBdr>
                <w:top w:val="none" w:sz="0" w:space="0" w:color="auto"/>
                <w:left w:val="none" w:sz="0" w:space="0" w:color="auto"/>
                <w:bottom w:val="none" w:sz="0" w:space="0" w:color="auto"/>
                <w:right w:val="none" w:sz="0" w:space="0" w:color="auto"/>
              </w:divBdr>
              <w:divsChild>
                <w:div w:id="21451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0775">
      <w:bodyDiv w:val="1"/>
      <w:marLeft w:val="0"/>
      <w:marRight w:val="0"/>
      <w:marTop w:val="0"/>
      <w:marBottom w:val="0"/>
      <w:divBdr>
        <w:top w:val="none" w:sz="0" w:space="0" w:color="auto"/>
        <w:left w:val="none" w:sz="0" w:space="0" w:color="auto"/>
        <w:bottom w:val="none" w:sz="0" w:space="0" w:color="auto"/>
        <w:right w:val="none" w:sz="0" w:space="0" w:color="auto"/>
      </w:divBdr>
    </w:div>
    <w:div w:id="1557545274">
      <w:bodyDiv w:val="1"/>
      <w:marLeft w:val="0"/>
      <w:marRight w:val="0"/>
      <w:marTop w:val="0"/>
      <w:marBottom w:val="0"/>
      <w:divBdr>
        <w:top w:val="none" w:sz="0" w:space="0" w:color="auto"/>
        <w:left w:val="none" w:sz="0" w:space="0" w:color="auto"/>
        <w:bottom w:val="none" w:sz="0" w:space="0" w:color="auto"/>
        <w:right w:val="none" w:sz="0" w:space="0" w:color="auto"/>
      </w:divBdr>
    </w:div>
    <w:div w:id="1566141306">
      <w:bodyDiv w:val="1"/>
      <w:marLeft w:val="0"/>
      <w:marRight w:val="0"/>
      <w:marTop w:val="0"/>
      <w:marBottom w:val="0"/>
      <w:divBdr>
        <w:top w:val="none" w:sz="0" w:space="0" w:color="auto"/>
        <w:left w:val="none" w:sz="0" w:space="0" w:color="auto"/>
        <w:bottom w:val="none" w:sz="0" w:space="0" w:color="auto"/>
        <w:right w:val="none" w:sz="0" w:space="0" w:color="auto"/>
      </w:divBdr>
    </w:div>
    <w:div w:id="1614240125">
      <w:bodyDiv w:val="1"/>
      <w:marLeft w:val="0"/>
      <w:marRight w:val="0"/>
      <w:marTop w:val="0"/>
      <w:marBottom w:val="0"/>
      <w:divBdr>
        <w:top w:val="none" w:sz="0" w:space="0" w:color="auto"/>
        <w:left w:val="none" w:sz="0" w:space="0" w:color="auto"/>
        <w:bottom w:val="none" w:sz="0" w:space="0" w:color="auto"/>
        <w:right w:val="none" w:sz="0" w:space="0" w:color="auto"/>
      </w:divBdr>
      <w:divsChild>
        <w:div w:id="1900943667">
          <w:marLeft w:val="0"/>
          <w:marRight w:val="0"/>
          <w:marTop w:val="0"/>
          <w:marBottom w:val="0"/>
          <w:divBdr>
            <w:top w:val="none" w:sz="0" w:space="0" w:color="auto"/>
            <w:left w:val="none" w:sz="0" w:space="0" w:color="auto"/>
            <w:bottom w:val="none" w:sz="0" w:space="0" w:color="auto"/>
            <w:right w:val="none" w:sz="0" w:space="0" w:color="auto"/>
          </w:divBdr>
          <w:divsChild>
            <w:div w:id="1965380036">
              <w:marLeft w:val="0"/>
              <w:marRight w:val="0"/>
              <w:marTop w:val="240"/>
              <w:marBottom w:val="0"/>
              <w:divBdr>
                <w:top w:val="single" w:sz="6" w:space="8" w:color="CCCCCC"/>
                <w:left w:val="single" w:sz="6" w:space="31" w:color="CCCCCC"/>
                <w:bottom w:val="single" w:sz="6" w:space="8" w:color="CCCCCC"/>
                <w:right w:val="single" w:sz="6" w:space="31" w:color="CCCCCC"/>
              </w:divBdr>
            </w:div>
          </w:divsChild>
        </w:div>
        <w:div w:id="862211794">
          <w:marLeft w:val="0"/>
          <w:marRight w:val="0"/>
          <w:marTop w:val="0"/>
          <w:marBottom w:val="0"/>
          <w:divBdr>
            <w:top w:val="none" w:sz="0" w:space="0" w:color="auto"/>
            <w:left w:val="none" w:sz="0" w:space="0" w:color="auto"/>
            <w:bottom w:val="none" w:sz="0" w:space="0" w:color="auto"/>
            <w:right w:val="none" w:sz="0" w:space="0" w:color="auto"/>
          </w:divBdr>
          <w:divsChild>
            <w:div w:id="41946277">
              <w:marLeft w:val="0"/>
              <w:marRight w:val="0"/>
              <w:marTop w:val="0"/>
              <w:marBottom w:val="0"/>
              <w:divBdr>
                <w:top w:val="none" w:sz="0" w:space="0" w:color="auto"/>
                <w:left w:val="none" w:sz="0" w:space="0" w:color="auto"/>
                <w:bottom w:val="none" w:sz="0" w:space="0" w:color="auto"/>
                <w:right w:val="none" w:sz="0" w:space="0" w:color="auto"/>
              </w:divBdr>
              <w:divsChild>
                <w:div w:id="10720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586">
      <w:bodyDiv w:val="1"/>
      <w:marLeft w:val="0"/>
      <w:marRight w:val="0"/>
      <w:marTop w:val="0"/>
      <w:marBottom w:val="0"/>
      <w:divBdr>
        <w:top w:val="none" w:sz="0" w:space="0" w:color="auto"/>
        <w:left w:val="none" w:sz="0" w:space="0" w:color="auto"/>
        <w:bottom w:val="none" w:sz="0" w:space="0" w:color="auto"/>
        <w:right w:val="none" w:sz="0" w:space="0" w:color="auto"/>
      </w:divBdr>
    </w:div>
    <w:div w:id="1661425821">
      <w:bodyDiv w:val="1"/>
      <w:marLeft w:val="0"/>
      <w:marRight w:val="0"/>
      <w:marTop w:val="0"/>
      <w:marBottom w:val="0"/>
      <w:divBdr>
        <w:top w:val="none" w:sz="0" w:space="0" w:color="auto"/>
        <w:left w:val="none" w:sz="0" w:space="0" w:color="auto"/>
        <w:bottom w:val="none" w:sz="0" w:space="0" w:color="auto"/>
        <w:right w:val="none" w:sz="0" w:space="0" w:color="auto"/>
      </w:divBdr>
    </w:div>
    <w:div w:id="1672218392">
      <w:bodyDiv w:val="1"/>
      <w:marLeft w:val="0"/>
      <w:marRight w:val="0"/>
      <w:marTop w:val="0"/>
      <w:marBottom w:val="0"/>
      <w:divBdr>
        <w:top w:val="none" w:sz="0" w:space="0" w:color="auto"/>
        <w:left w:val="none" w:sz="0" w:space="0" w:color="auto"/>
        <w:bottom w:val="none" w:sz="0" w:space="0" w:color="auto"/>
        <w:right w:val="none" w:sz="0" w:space="0" w:color="auto"/>
      </w:divBdr>
    </w:div>
    <w:div w:id="1686442537">
      <w:bodyDiv w:val="1"/>
      <w:marLeft w:val="0"/>
      <w:marRight w:val="0"/>
      <w:marTop w:val="0"/>
      <w:marBottom w:val="0"/>
      <w:divBdr>
        <w:top w:val="none" w:sz="0" w:space="0" w:color="auto"/>
        <w:left w:val="none" w:sz="0" w:space="0" w:color="auto"/>
        <w:bottom w:val="none" w:sz="0" w:space="0" w:color="auto"/>
        <w:right w:val="none" w:sz="0" w:space="0" w:color="auto"/>
      </w:divBdr>
    </w:div>
    <w:div w:id="1703093689">
      <w:bodyDiv w:val="1"/>
      <w:marLeft w:val="0"/>
      <w:marRight w:val="0"/>
      <w:marTop w:val="0"/>
      <w:marBottom w:val="0"/>
      <w:divBdr>
        <w:top w:val="none" w:sz="0" w:space="0" w:color="auto"/>
        <w:left w:val="none" w:sz="0" w:space="0" w:color="auto"/>
        <w:bottom w:val="none" w:sz="0" w:space="0" w:color="auto"/>
        <w:right w:val="none" w:sz="0" w:space="0" w:color="auto"/>
      </w:divBdr>
    </w:div>
    <w:div w:id="1738750128">
      <w:bodyDiv w:val="1"/>
      <w:marLeft w:val="0"/>
      <w:marRight w:val="0"/>
      <w:marTop w:val="0"/>
      <w:marBottom w:val="0"/>
      <w:divBdr>
        <w:top w:val="none" w:sz="0" w:space="0" w:color="auto"/>
        <w:left w:val="none" w:sz="0" w:space="0" w:color="auto"/>
        <w:bottom w:val="none" w:sz="0" w:space="0" w:color="auto"/>
        <w:right w:val="none" w:sz="0" w:space="0" w:color="auto"/>
      </w:divBdr>
      <w:divsChild>
        <w:div w:id="1597471999">
          <w:marLeft w:val="0"/>
          <w:marRight w:val="0"/>
          <w:marTop w:val="100"/>
          <w:marBottom w:val="0"/>
          <w:divBdr>
            <w:top w:val="none" w:sz="0" w:space="0" w:color="auto"/>
            <w:left w:val="none" w:sz="0" w:space="0" w:color="auto"/>
            <w:bottom w:val="none" w:sz="0" w:space="0" w:color="auto"/>
            <w:right w:val="none" w:sz="0" w:space="0" w:color="auto"/>
          </w:divBdr>
        </w:div>
        <w:div w:id="501356056">
          <w:marLeft w:val="0"/>
          <w:marRight w:val="0"/>
          <w:marTop w:val="0"/>
          <w:marBottom w:val="0"/>
          <w:divBdr>
            <w:top w:val="none" w:sz="0" w:space="0" w:color="auto"/>
            <w:left w:val="none" w:sz="0" w:space="0" w:color="auto"/>
            <w:bottom w:val="none" w:sz="0" w:space="0" w:color="auto"/>
            <w:right w:val="none" w:sz="0" w:space="0" w:color="auto"/>
          </w:divBdr>
          <w:divsChild>
            <w:div w:id="1556090034">
              <w:marLeft w:val="0"/>
              <w:marRight w:val="0"/>
              <w:marTop w:val="0"/>
              <w:marBottom w:val="0"/>
              <w:divBdr>
                <w:top w:val="none" w:sz="0" w:space="0" w:color="auto"/>
                <w:left w:val="none" w:sz="0" w:space="0" w:color="auto"/>
                <w:bottom w:val="none" w:sz="0" w:space="0" w:color="auto"/>
                <w:right w:val="none" w:sz="0" w:space="0" w:color="auto"/>
              </w:divBdr>
              <w:divsChild>
                <w:div w:id="1297297944">
                  <w:marLeft w:val="0"/>
                  <w:marRight w:val="0"/>
                  <w:marTop w:val="0"/>
                  <w:marBottom w:val="0"/>
                  <w:divBdr>
                    <w:top w:val="none" w:sz="0" w:space="0" w:color="auto"/>
                    <w:left w:val="none" w:sz="0" w:space="0" w:color="auto"/>
                    <w:bottom w:val="none" w:sz="0" w:space="0" w:color="auto"/>
                    <w:right w:val="none" w:sz="0" w:space="0" w:color="auto"/>
                  </w:divBdr>
                  <w:divsChild>
                    <w:div w:id="15947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6878">
          <w:marLeft w:val="0"/>
          <w:marRight w:val="0"/>
          <w:marTop w:val="0"/>
          <w:marBottom w:val="0"/>
          <w:divBdr>
            <w:top w:val="none" w:sz="0" w:space="0" w:color="auto"/>
            <w:left w:val="none" w:sz="0" w:space="0" w:color="auto"/>
            <w:bottom w:val="none" w:sz="0" w:space="0" w:color="auto"/>
            <w:right w:val="none" w:sz="0" w:space="0" w:color="auto"/>
          </w:divBdr>
          <w:divsChild>
            <w:div w:id="1947031180">
              <w:marLeft w:val="0"/>
              <w:marRight w:val="0"/>
              <w:marTop w:val="0"/>
              <w:marBottom w:val="0"/>
              <w:divBdr>
                <w:top w:val="none" w:sz="0" w:space="0" w:color="auto"/>
                <w:left w:val="none" w:sz="0" w:space="0" w:color="auto"/>
                <w:bottom w:val="none" w:sz="0" w:space="0" w:color="auto"/>
                <w:right w:val="none" w:sz="0" w:space="0" w:color="auto"/>
              </w:divBdr>
              <w:divsChild>
                <w:div w:id="8360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5982">
      <w:bodyDiv w:val="1"/>
      <w:marLeft w:val="0"/>
      <w:marRight w:val="0"/>
      <w:marTop w:val="0"/>
      <w:marBottom w:val="0"/>
      <w:divBdr>
        <w:top w:val="none" w:sz="0" w:space="0" w:color="auto"/>
        <w:left w:val="none" w:sz="0" w:space="0" w:color="auto"/>
        <w:bottom w:val="none" w:sz="0" w:space="0" w:color="auto"/>
        <w:right w:val="none" w:sz="0" w:space="0" w:color="auto"/>
      </w:divBdr>
      <w:divsChild>
        <w:div w:id="1218005964">
          <w:marLeft w:val="0"/>
          <w:marRight w:val="0"/>
          <w:marTop w:val="100"/>
          <w:marBottom w:val="0"/>
          <w:divBdr>
            <w:top w:val="none" w:sz="0" w:space="0" w:color="auto"/>
            <w:left w:val="none" w:sz="0" w:space="0" w:color="auto"/>
            <w:bottom w:val="none" w:sz="0" w:space="0" w:color="auto"/>
            <w:right w:val="none" w:sz="0" w:space="0" w:color="auto"/>
          </w:divBdr>
          <w:divsChild>
            <w:div w:id="798573258">
              <w:marLeft w:val="0"/>
              <w:marRight w:val="0"/>
              <w:marTop w:val="60"/>
              <w:marBottom w:val="0"/>
              <w:divBdr>
                <w:top w:val="none" w:sz="0" w:space="0" w:color="auto"/>
                <w:left w:val="none" w:sz="0" w:space="0" w:color="auto"/>
                <w:bottom w:val="none" w:sz="0" w:space="0" w:color="auto"/>
                <w:right w:val="none" w:sz="0" w:space="0" w:color="auto"/>
              </w:divBdr>
            </w:div>
          </w:divsChild>
        </w:div>
        <w:div w:id="1830512136">
          <w:marLeft w:val="0"/>
          <w:marRight w:val="0"/>
          <w:marTop w:val="0"/>
          <w:marBottom w:val="0"/>
          <w:divBdr>
            <w:top w:val="none" w:sz="0" w:space="0" w:color="auto"/>
            <w:left w:val="none" w:sz="0" w:space="0" w:color="auto"/>
            <w:bottom w:val="none" w:sz="0" w:space="0" w:color="auto"/>
            <w:right w:val="none" w:sz="0" w:space="0" w:color="auto"/>
          </w:divBdr>
          <w:divsChild>
            <w:div w:id="634988630">
              <w:marLeft w:val="0"/>
              <w:marRight w:val="0"/>
              <w:marTop w:val="0"/>
              <w:marBottom w:val="0"/>
              <w:divBdr>
                <w:top w:val="none" w:sz="0" w:space="0" w:color="auto"/>
                <w:left w:val="none" w:sz="0" w:space="0" w:color="auto"/>
                <w:bottom w:val="none" w:sz="0" w:space="0" w:color="auto"/>
                <w:right w:val="none" w:sz="0" w:space="0" w:color="auto"/>
              </w:divBdr>
              <w:divsChild>
                <w:div w:id="20385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3440">
      <w:bodyDiv w:val="1"/>
      <w:marLeft w:val="0"/>
      <w:marRight w:val="0"/>
      <w:marTop w:val="0"/>
      <w:marBottom w:val="0"/>
      <w:divBdr>
        <w:top w:val="none" w:sz="0" w:space="0" w:color="auto"/>
        <w:left w:val="none" w:sz="0" w:space="0" w:color="auto"/>
        <w:bottom w:val="none" w:sz="0" w:space="0" w:color="auto"/>
        <w:right w:val="none" w:sz="0" w:space="0" w:color="auto"/>
      </w:divBdr>
    </w:div>
    <w:div w:id="1842547011">
      <w:bodyDiv w:val="1"/>
      <w:marLeft w:val="0"/>
      <w:marRight w:val="0"/>
      <w:marTop w:val="0"/>
      <w:marBottom w:val="0"/>
      <w:divBdr>
        <w:top w:val="none" w:sz="0" w:space="0" w:color="auto"/>
        <w:left w:val="none" w:sz="0" w:space="0" w:color="auto"/>
        <w:bottom w:val="none" w:sz="0" w:space="0" w:color="auto"/>
        <w:right w:val="none" w:sz="0" w:space="0" w:color="auto"/>
      </w:divBdr>
    </w:div>
    <w:div w:id="1848446336">
      <w:bodyDiv w:val="1"/>
      <w:marLeft w:val="0"/>
      <w:marRight w:val="0"/>
      <w:marTop w:val="0"/>
      <w:marBottom w:val="0"/>
      <w:divBdr>
        <w:top w:val="none" w:sz="0" w:space="0" w:color="auto"/>
        <w:left w:val="none" w:sz="0" w:space="0" w:color="auto"/>
        <w:bottom w:val="none" w:sz="0" w:space="0" w:color="auto"/>
        <w:right w:val="none" w:sz="0" w:space="0" w:color="auto"/>
      </w:divBdr>
      <w:divsChild>
        <w:div w:id="1282421683">
          <w:marLeft w:val="0"/>
          <w:marRight w:val="0"/>
          <w:marTop w:val="100"/>
          <w:marBottom w:val="0"/>
          <w:divBdr>
            <w:top w:val="none" w:sz="0" w:space="0" w:color="auto"/>
            <w:left w:val="none" w:sz="0" w:space="0" w:color="auto"/>
            <w:bottom w:val="none" w:sz="0" w:space="0" w:color="auto"/>
            <w:right w:val="none" w:sz="0" w:space="0" w:color="auto"/>
          </w:divBdr>
        </w:div>
        <w:div w:id="1042825866">
          <w:marLeft w:val="0"/>
          <w:marRight w:val="0"/>
          <w:marTop w:val="0"/>
          <w:marBottom w:val="0"/>
          <w:divBdr>
            <w:top w:val="none" w:sz="0" w:space="0" w:color="auto"/>
            <w:left w:val="none" w:sz="0" w:space="0" w:color="auto"/>
            <w:bottom w:val="none" w:sz="0" w:space="0" w:color="auto"/>
            <w:right w:val="none" w:sz="0" w:space="0" w:color="auto"/>
          </w:divBdr>
          <w:divsChild>
            <w:div w:id="1604265928">
              <w:marLeft w:val="0"/>
              <w:marRight w:val="0"/>
              <w:marTop w:val="0"/>
              <w:marBottom w:val="0"/>
              <w:divBdr>
                <w:top w:val="none" w:sz="0" w:space="0" w:color="auto"/>
                <w:left w:val="none" w:sz="0" w:space="0" w:color="auto"/>
                <w:bottom w:val="none" w:sz="0" w:space="0" w:color="auto"/>
                <w:right w:val="none" w:sz="0" w:space="0" w:color="auto"/>
              </w:divBdr>
              <w:divsChild>
                <w:div w:id="97986175">
                  <w:marLeft w:val="0"/>
                  <w:marRight w:val="0"/>
                  <w:marTop w:val="0"/>
                  <w:marBottom w:val="0"/>
                  <w:divBdr>
                    <w:top w:val="none" w:sz="0" w:space="0" w:color="auto"/>
                    <w:left w:val="none" w:sz="0" w:space="0" w:color="auto"/>
                    <w:bottom w:val="none" w:sz="0" w:space="0" w:color="auto"/>
                    <w:right w:val="none" w:sz="0" w:space="0" w:color="auto"/>
                  </w:divBdr>
                  <w:divsChild>
                    <w:div w:id="256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31158">
          <w:marLeft w:val="0"/>
          <w:marRight w:val="0"/>
          <w:marTop w:val="0"/>
          <w:marBottom w:val="0"/>
          <w:divBdr>
            <w:top w:val="none" w:sz="0" w:space="0" w:color="auto"/>
            <w:left w:val="none" w:sz="0" w:space="0" w:color="auto"/>
            <w:bottom w:val="none" w:sz="0" w:space="0" w:color="auto"/>
            <w:right w:val="none" w:sz="0" w:space="0" w:color="auto"/>
          </w:divBdr>
          <w:divsChild>
            <w:div w:id="352658852">
              <w:marLeft w:val="0"/>
              <w:marRight w:val="0"/>
              <w:marTop w:val="0"/>
              <w:marBottom w:val="0"/>
              <w:divBdr>
                <w:top w:val="none" w:sz="0" w:space="0" w:color="auto"/>
                <w:left w:val="none" w:sz="0" w:space="0" w:color="auto"/>
                <w:bottom w:val="none" w:sz="0" w:space="0" w:color="auto"/>
                <w:right w:val="none" w:sz="0" w:space="0" w:color="auto"/>
              </w:divBdr>
              <w:divsChild>
                <w:div w:id="12271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2580">
      <w:bodyDiv w:val="1"/>
      <w:marLeft w:val="0"/>
      <w:marRight w:val="0"/>
      <w:marTop w:val="0"/>
      <w:marBottom w:val="0"/>
      <w:divBdr>
        <w:top w:val="none" w:sz="0" w:space="0" w:color="auto"/>
        <w:left w:val="none" w:sz="0" w:space="0" w:color="auto"/>
        <w:bottom w:val="none" w:sz="0" w:space="0" w:color="auto"/>
        <w:right w:val="none" w:sz="0" w:space="0" w:color="auto"/>
      </w:divBdr>
      <w:divsChild>
        <w:div w:id="1766068963">
          <w:marLeft w:val="0"/>
          <w:marRight w:val="0"/>
          <w:marTop w:val="100"/>
          <w:marBottom w:val="0"/>
          <w:divBdr>
            <w:top w:val="none" w:sz="0" w:space="0" w:color="auto"/>
            <w:left w:val="none" w:sz="0" w:space="0" w:color="auto"/>
            <w:bottom w:val="none" w:sz="0" w:space="0" w:color="auto"/>
            <w:right w:val="none" w:sz="0" w:space="0" w:color="auto"/>
          </w:divBdr>
        </w:div>
        <w:div w:id="40444186">
          <w:marLeft w:val="0"/>
          <w:marRight w:val="0"/>
          <w:marTop w:val="0"/>
          <w:marBottom w:val="0"/>
          <w:divBdr>
            <w:top w:val="none" w:sz="0" w:space="0" w:color="auto"/>
            <w:left w:val="none" w:sz="0" w:space="0" w:color="auto"/>
            <w:bottom w:val="none" w:sz="0" w:space="0" w:color="auto"/>
            <w:right w:val="none" w:sz="0" w:space="0" w:color="auto"/>
          </w:divBdr>
          <w:divsChild>
            <w:div w:id="1793671379">
              <w:marLeft w:val="0"/>
              <w:marRight w:val="0"/>
              <w:marTop w:val="0"/>
              <w:marBottom w:val="0"/>
              <w:divBdr>
                <w:top w:val="none" w:sz="0" w:space="0" w:color="auto"/>
                <w:left w:val="none" w:sz="0" w:space="0" w:color="auto"/>
                <w:bottom w:val="none" w:sz="0" w:space="0" w:color="auto"/>
                <w:right w:val="none" w:sz="0" w:space="0" w:color="auto"/>
              </w:divBdr>
              <w:divsChild>
                <w:div w:id="4149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3605">
      <w:bodyDiv w:val="1"/>
      <w:marLeft w:val="0"/>
      <w:marRight w:val="0"/>
      <w:marTop w:val="0"/>
      <w:marBottom w:val="0"/>
      <w:divBdr>
        <w:top w:val="none" w:sz="0" w:space="0" w:color="auto"/>
        <w:left w:val="none" w:sz="0" w:space="0" w:color="auto"/>
        <w:bottom w:val="none" w:sz="0" w:space="0" w:color="auto"/>
        <w:right w:val="none" w:sz="0" w:space="0" w:color="auto"/>
      </w:divBdr>
      <w:divsChild>
        <w:div w:id="1351948816">
          <w:marLeft w:val="0"/>
          <w:marRight w:val="0"/>
          <w:marTop w:val="100"/>
          <w:marBottom w:val="0"/>
          <w:divBdr>
            <w:top w:val="none" w:sz="0" w:space="0" w:color="auto"/>
            <w:left w:val="none" w:sz="0" w:space="0" w:color="auto"/>
            <w:bottom w:val="none" w:sz="0" w:space="0" w:color="auto"/>
            <w:right w:val="none" w:sz="0" w:space="0" w:color="auto"/>
          </w:divBdr>
          <w:divsChild>
            <w:div w:id="830953053">
              <w:marLeft w:val="0"/>
              <w:marRight w:val="0"/>
              <w:marTop w:val="60"/>
              <w:marBottom w:val="0"/>
              <w:divBdr>
                <w:top w:val="none" w:sz="0" w:space="0" w:color="auto"/>
                <w:left w:val="none" w:sz="0" w:space="0" w:color="auto"/>
                <w:bottom w:val="none" w:sz="0" w:space="0" w:color="auto"/>
                <w:right w:val="none" w:sz="0" w:space="0" w:color="auto"/>
              </w:divBdr>
            </w:div>
          </w:divsChild>
        </w:div>
        <w:div w:id="1197543168">
          <w:marLeft w:val="0"/>
          <w:marRight w:val="0"/>
          <w:marTop w:val="0"/>
          <w:marBottom w:val="0"/>
          <w:divBdr>
            <w:top w:val="none" w:sz="0" w:space="0" w:color="auto"/>
            <w:left w:val="none" w:sz="0" w:space="0" w:color="auto"/>
            <w:bottom w:val="none" w:sz="0" w:space="0" w:color="auto"/>
            <w:right w:val="none" w:sz="0" w:space="0" w:color="auto"/>
          </w:divBdr>
          <w:divsChild>
            <w:div w:id="1041825887">
              <w:marLeft w:val="0"/>
              <w:marRight w:val="0"/>
              <w:marTop w:val="0"/>
              <w:marBottom w:val="0"/>
              <w:divBdr>
                <w:top w:val="none" w:sz="0" w:space="0" w:color="auto"/>
                <w:left w:val="none" w:sz="0" w:space="0" w:color="auto"/>
                <w:bottom w:val="none" w:sz="0" w:space="0" w:color="auto"/>
                <w:right w:val="none" w:sz="0" w:space="0" w:color="auto"/>
              </w:divBdr>
              <w:divsChild>
                <w:div w:id="1930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8296">
      <w:bodyDiv w:val="1"/>
      <w:marLeft w:val="0"/>
      <w:marRight w:val="0"/>
      <w:marTop w:val="0"/>
      <w:marBottom w:val="0"/>
      <w:divBdr>
        <w:top w:val="none" w:sz="0" w:space="0" w:color="auto"/>
        <w:left w:val="none" w:sz="0" w:space="0" w:color="auto"/>
        <w:bottom w:val="none" w:sz="0" w:space="0" w:color="auto"/>
        <w:right w:val="none" w:sz="0" w:space="0" w:color="auto"/>
      </w:divBdr>
    </w:div>
    <w:div w:id="1902249447">
      <w:bodyDiv w:val="1"/>
      <w:marLeft w:val="0"/>
      <w:marRight w:val="0"/>
      <w:marTop w:val="0"/>
      <w:marBottom w:val="0"/>
      <w:divBdr>
        <w:top w:val="none" w:sz="0" w:space="0" w:color="auto"/>
        <w:left w:val="none" w:sz="0" w:space="0" w:color="auto"/>
        <w:bottom w:val="none" w:sz="0" w:space="0" w:color="auto"/>
        <w:right w:val="none" w:sz="0" w:space="0" w:color="auto"/>
      </w:divBdr>
    </w:div>
    <w:div w:id="1920863290">
      <w:bodyDiv w:val="1"/>
      <w:marLeft w:val="0"/>
      <w:marRight w:val="0"/>
      <w:marTop w:val="0"/>
      <w:marBottom w:val="0"/>
      <w:divBdr>
        <w:top w:val="none" w:sz="0" w:space="0" w:color="auto"/>
        <w:left w:val="none" w:sz="0" w:space="0" w:color="auto"/>
        <w:bottom w:val="none" w:sz="0" w:space="0" w:color="auto"/>
        <w:right w:val="none" w:sz="0" w:space="0" w:color="auto"/>
      </w:divBdr>
      <w:divsChild>
        <w:div w:id="1353069293">
          <w:marLeft w:val="0"/>
          <w:marRight w:val="0"/>
          <w:marTop w:val="100"/>
          <w:marBottom w:val="0"/>
          <w:divBdr>
            <w:top w:val="none" w:sz="0" w:space="0" w:color="auto"/>
            <w:left w:val="none" w:sz="0" w:space="0" w:color="auto"/>
            <w:bottom w:val="none" w:sz="0" w:space="0" w:color="auto"/>
            <w:right w:val="none" w:sz="0" w:space="0" w:color="auto"/>
          </w:divBdr>
        </w:div>
        <w:div w:id="1355883819">
          <w:marLeft w:val="0"/>
          <w:marRight w:val="0"/>
          <w:marTop w:val="0"/>
          <w:marBottom w:val="0"/>
          <w:divBdr>
            <w:top w:val="none" w:sz="0" w:space="0" w:color="auto"/>
            <w:left w:val="none" w:sz="0" w:space="0" w:color="auto"/>
            <w:bottom w:val="none" w:sz="0" w:space="0" w:color="auto"/>
            <w:right w:val="none" w:sz="0" w:space="0" w:color="auto"/>
          </w:divBdr>
          <w:divsChild>
            <w:div w:id="1879312934">
              <w:marLeft w:val="0"/>
              <w:marRight w:val="0"/>
              <w:marTop w:val="0"/>
              <w:marBottom w:val="0"/>
              <w:divBdr>
                <w:top w:val="none" w:sz="0" w:space="0" w:color="auto"/>
                <w:left w:val="none" w:sz="0" w:space="0" w:color="auto"/>
                <w:bottom w:val="none" w:sz="0" w:space="0" w:color="auto"/>
                <w:right w:val="none" w:sz="0" w:space="0" w:color="auto"/>
              </w:divBdr>
              <w:divsChild>
                <w:div w:id="10902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3056">
      <w:bodyDiv w:val="1"/>
      <w:marLeft w:val="0"/>
      <w:marRight w:val="0"/>
      <w:marTop w:val="0"/>
      <w:marBottom w:val="0"/>
      <w:divBdr>
        <w:top w:val="none" w:sz="0" w:space="0" w:color="auto"/>
        <w:left w:val="none" w:sz="0" w:space="0" w:color="auto"/>
        <w:bottom w:val="none" w:sz="0" w:space="0" w:color="auto"/>
        <w:right w:val="none" w:sz="0" w:space="0" w:color="auto"/>
      </w:divBdr>
    </w:div>
    <w:div w:id="1945965593">
      <w:bodyDiv w:val="1"/>
      <w:marLeft w:val="0"/>
      <w:marRight w:val="0"/>
      <w:marTop w:val="0"/>
      <w:marBottom w:val="0"/>
      <w:divBdr>
        <w:top w:val="none" w:sz="0" w:space="0" w:color="auto"/>
        <w:left w:val="none" w:sz="0" w:space="0" w:color="auto"/>
        <w:bottom w:val="none" w:sz="0" w:space="0" w:color="auto"/>
        <w:right w:val="none" w:sz="0" w:space="0" w:color="auto"/>
      </w:divBdr>
      <w:divsChild>
        <w:div w:id="211160486">
          <w:marLeft w:val="0"/>
          <w:marRight w:val="0"/>
          <w:marTop w:val="0"/>
          <w:marBottom w:val="0"/>
          <w:divBdr>
            <w:top w:val="none" w:sz="0" w:space="0" w:color="auto"/>
            <w:left w:val="none" w:sz="0" w:space="0" w:color="auto"/>
            <w:bottom w:val="none" w:sz="0" w:space="0" w:color="auto"/>
            <w:right w:val="none" w:sz="0" w:space="0" w:color="auto"/>
          </w:divBdr>
        </w:div>
      </w:divsChild>
    </w:div>
    <w:div w:id="1968775754">
      <w:bodyDiv w:val="1"/>
      <w:marLeft w:val="0"/>
      <w:marRight w:val="0"/>
      <w:marTop w:val="0"/>
      <w:marBottom w:val="0"/>
      <w:divBdr>
        <w:top w:val="none" w:sz="0" w:space="0" w:color="auto"/>
        <w:left w:val="none" w:sz="0" w:space="0" w:color="auto"/>
        <w:bottom w:val="none" w:sz="0" w:space="0" w:color="auto"/>
        <w:right w:val="none" w:sz="0" w:space="0" w:color="auto"/>
      </w:divBdr>
    </w:div>
    <w:div w:id="2001152529">
      <w:bodyDiv w:val="1"/>
      <w:marLeft w:val="0"/>
      <w:marRight w:val="0"/>
      <w:marTop w:val="0"/>
      <w:marBottom w:val="0"/>
      <w:divBdr>
        <w:top w:val="none" w:sz="0" w:space="0" w:color="auto"/>
        <w:left w:val="none" w:sz="0" w:space="0" w:color="auto"/>
        <w:bottom w:val="none" w:sz="0" w:space="0" w:color="auto"/>
        <w:right w:val="none" w:sz="0" w:space="0" w:color="auto"/>
      </w:divBdr>
      <w:divsChild>
        <w:div w:id="1712068553">
          <w:marLeft w:val="0"/>
          <w:marRight w:val="0"/>
          <w:marTop w:val="0"/>
          <w:marBottom w:val="0"/>
          <w:divBdr>
            <w:top w:val="none" w:sz="0" w:space="0" w:color="auto"/>
            <w:left w:val="none" w:sz="0" w:space="0" w:color="auto"/>
            <w:bottom w:val="none" w:sz="0" w:space="0" w:color="auto"/>
            <w:right w:val="none" w:sz="0" w:space="0" w:color="auto"/>
          </w:divBdr>
        </w:div>
      </w:divsChild>
    </w:div>
    <w:div w:id="2008167108">
      <w:bodyDiv w:val="1"/>
      <w:marLeft w:val="0"/>
      <w:marRight w:val="0"/>
      <w:marTop w:val="0"/>
      <w:marBottom w:val="0"/>
      <w:divBdr>
        <w:top w:val="none" w:sz="0" w:space="0" w:color="auto"/>
        <w:left w:val="none" w:sz="0" w:space="0" w:color="auto"/>
        <w:bottom w:val="none" w:sz="0" w:space="0" w:color="auto"/>
        <w:right w:val="none" w:sz="0" w:space="0" w:color="auto"/>
      </w:divBdr>
    </w:div>
    <w:div w:id="2015960003">
      <w:bodyDiv w:val="1"/>
      <w:marLeft w:val="0"/>
      <w:marRight w:val="0"/>
      <w:marTop w:val="0"/>
      <w:marBottom w:val="0"/>
      <w:divBdr>
        <w:top w:val="none" w:sz="0" w:space="0" w:color="auto"/>
        <w:left w:val="none" w:sz="0" w:space="0" w:color="auto"/>
        <w:bottom w:val="none" w:sz="0" w:space="0" w:color="auto"/>
        <w:right w:val="none" w:sz="0" w:space="0" w:color="auto"/>
      </w:divBdr>
      <w:divsChild>
        <w:div w:id="919799968">
          <w:marLeft w:val="2380"/>
          <w:marRight w:val="2200"/>
          <w:marTop w:val="0"/>
          <w:marBottom w:val="0"/>
          <w:divBdr>
            <w:top w:val="double" w:sz="4" w:space="0" w:color="000000"/>
            <w:left w:val="double" w:sz="4" w:space="0" w:color="000000"/>
            <w:bottom w:val="double" w:sz="4" w:space="0" w:color="000000"/>
            <w:right w:val="double" w:sz="4" w:space="0" w:color="000000"/>
          </w:divBdr>
        </w:div>
      </w:divsChild>
    </w:div>
    <w:div w:id="2017416349">
      <w:bodyDiv w:val="1"/>
      <w:marLeft w:val="0"/>
      <w:marRight w:val="0"/>
      <w:marTop w:val="0"/>
      <w:marBottom w:val="0"/>
      <w:divBdr>
        <w:top w:val="none" w:sz="0" w:space="0" w:color="auto"/>
        <w:left w:val="none" w:sz="0" w:space="0" w:color="auto"/>
        <w:bottom w:val="none" w:sz="0" w:space="0" w:color="auto"/>
        <w:right w:val="none" w:sz="0" w:space="0" w:color="auto"/>
      </w:divBdr>
    </w:div>
    <w:div w:id="2021616891">
      <w:bodyDiv w:val="1"/>
      <w:marLeft w:val="0"/>
      <w:marRight w:val="0"/>
      <w:marTop w:val="0"/>
      <w:marBottom w:val="0"/>
      <w:divBdr>
        <w:top w:val="none" w:sz="0" w:space="0" w:color="auto"/>
        <w:left w:val="none" w:sz="0" w:space="0" w:color="auto"/>
        <w:bottom w:val="none" w:sz="0" w:space="0" w:color="auto"/>
        <w:right w:val="none" w:sz="0" w:space="0" w:color="auto"/>
      </w:divBdr>
    </w:div>
    <w:div w:id="2029211095">
      <w:bodyDiv w:val="1"/>
      <w:marLeft w:val="0"/>
      <w:marRight w:val="0"/>
      <w:marTop w:val="0"/>
      <w:marBottom w:val="0"/>
      <w:divBdr>
        <w:top w:val="none" w:sz="0" w:space="0" w:color="auto"/>
        <w:left w:val="none" w:sz="0" w:space="0" w:color="auto"/>
        <w:bottom w:val="none" w:sz="0" w:space="0" w:color="auto"/>
        <w:right w:val="none" w:sz="0" w:space="0" w:color="auto"/>
      </w:divBdr>
    </w:div>
    <w:div w:id="2054499215">
      <w:bodyDiv w:val="1"/>
      <w:marLeft w:val="0"/>
      <w:marRight w:val="0"/>
      <w:marTop w:val="0"/>
      <w:marBottom w:val="0"/>
      <w:divBdr>
        <w:top w:val="none" w:sz="0" w:space="0" w:color="auto"/>
        <w:left w:val="none" w:sz="0" w:space="0" w:color="auto"/>
        <w:bottom w:val="none" w:sz="0" w:space="0" w:color="auto"/>
        <w:right w:val="none" w:sz="0" w:space="0" w:color="auto"/>
      </w:divBdr>
    </w:div>
    <w:div w:id="2091269409">
      <w:bodyDiv w:val="1"/>
      <w:marLeft w:val="0"/>
      <w:marRight w:val="0"/>
      <w:marTop w:val="0"/>
      <w:marBottom w:val="0"/>
      <w:divBdr>
        <w:top w:val="none" w:sz="0" w:space="0" w:color="auto"/>
        <w:left w:val="none" w:sz="0" w:space="0" w:color="auto"/>
        <w:bottom w:val="none" w:sz="0" w:space="0" w:color="auto"/>
        <w:right w:val="none" w:sz="0" w:space="0" w:color="auto"/>
      </w:divBdr>
    </w:div>
    <w:div w:id="2112164340">
      <w:bodyDiv w:val="1"/>
      <w:marLeft w:val="0"/>
      <w:marRight w:val="0"/>
      <w:marTop w:val="0"/>
      <w:marBottom w:val="0"/>
      <w:divBdr>
        <w:top w:val="none" w:sz="0" w:space="0" w:color="auto"/>
        <w:left w:val="none" w:sz="0" w:space="0" w:color="auto"/>
        <w:bottom w:val="none" w:sz="0" w:space="0" w:color="auto"/>
        <w:right w:val="none" w:sz="0" w:space="0" w:color="auto"/>
      </w:divBdr>
      <w:divsChild>
        <w:div w:id="740177463">
          <w:marLeft w:val="0"/>
          <w:marRight w:val="0"/>
          <w:marTop w:val="0"/>
          <w:marBottom w:val="0"/>
          <w:divBdr>
            <w:top w:val="none" w:sz="0" w:space="0" w:color="auto"/>
            <w:left w:val="none" w:sz="0" w:space="0" w:color="auto"/>
            <w:bottom w:val="none" w:sz="0" w:space="0" w:color="auto"/>
            <w:right w:val="none" w:sz="0" w:space="0" w:color="auto"/>
          </w:divBdr>
        </w:div>
      </w:divsChild>
    </w:div>
    <w:div w:id="2119330121">
      <w:bodyDiv w:val="1"/>
      <w:marLeft w:val="0"/>
      <w:marRight w:val="0"/>
      <w:marTop w:val="0"/>
      <w:marBottom w:val="0"/>
      <w:divBdr>
        <w:top w:val="none" w:sz="0" w:space="0" w:color="auto"/>
        <w:left w:val="none" w:sz="0" w:space="0" w:color="auto"/>
        <w:bottom w:val="none" w:sz="0" w:space="0" w:color="auto"/>
        <w:right w:val="none" w:sz="0" w:space="0" w:color="auto"/>
      </w:divBdr>
    </w:div>
    <w:div w:id="2143841964">
      <w:bodyDiv w:val="1"/>
      <w:marLeft w:val="0"/>
      <w:marRight w:val="0"/>
      <w:marTop w:val="0"/>
      <w:marBottom w:val="0"/>
      <w:divBdr>
        <w:top w:val="none" w:sz="0" w:space="0" w:color="auto"/>
        <w:left w:val="none" w:sz="0" w:space="0" w:color="auto"/>
        <w:bottom w:val="none" w:sz="0" w:space="0" w:color="auto"/>
        <w:right w:val="none" w:sz="0" w:space="0" w:color="auto"/>
      </w:divBdr>
      <w:divsChild>
        <w:div w:id="2082870561">
          <w:marLeft w:val="0"/>
          <w:marRight w:val="0"/>
          <w:marTop w:val="100"/>
          <w:marBottom w:val="0"/>
          <w:divBdr>
            <w:top w:val="none" w:sz="0" w:space="0" w:color="auto"/>
            <w:left w:val="none" w:sz="0" w:space="0" w:color="auto"/>
            <w:bottom w:val="none" w:sz="0" w:space="0" w:color="auto"/>
            <w:right w:val="none" w:sz="0" w:space="0" w:color="auto"/>
          </w:divBdr>
        </w:div>
        <w:div w:id="576669387">
          <w:marLeft w:val="0"/>
          <w:marRight w:val="0"/>
          <w:marTop w:val="0"/>
          <w:marBottom w:val="0"/>
          <w:divBdr>
            <w:top w:val="none" w:sz="0" w:space="0" w:color="auto"/>
            <w:left w:val="none" w:sz="0" w:space="0" w:color="auto"/>
            <w:bottom w:val="none" w:sz="0" w:space="0" w:color="auto"/>
            <w:right w:val="none" w:sz="0" w:space="0" w:color="auto"/>
          </w:divBdr>
          <w:divsChild>
            <w:div w:id="751589219">
              <w:marLeft w:val="0"/>
              <w:marRight w:val="0"/>
              <w:marTop w:val="0"/>
              <w:marBottom w:val="0"/>
              <w:divBdr>
                <w:top w:val="none" w:sz="0" w:space="0" w:color="auto"/>
                <w:left w:val="none" w:sz="0" w:space="0" w:color="auto"/>
                <w:bottom w:val="none" w:sz="0" w:space="0" w:color="auto"/>
                <w:right w:val="none" w:sz="0" w:space="0" w:color="auto"/>
              </w:divBdr>
              <w:divsChild>
                <w:div w:id="8777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cType>
    <Item>FOND</Item>
  </DcType>
  <CMMeetNum/>
  <StateParty>
    <Item>FRA</Item>
  </StateParty>
  <ArticleNotViolated/>
  <ArticleInToConformity/>
  <ArticleNotInToConformity/>
  <Cycle/>
  <PeriodStartDate/>
  <PeriodEndDate/>
  <CharterId/>
  <Category>CC</Category>
  <DcIdentifier>cc-168-2018-dmerits-fr</DcIdentifier>
  <DcLanguage>FRA</DcLanguage>
  <Title>Décision sur le bien-fondé :Forum européen des personnes handicapées (EDF) et Inclusion Europe c. France, réclamation n° 168/2018</Title>
  <DateDec>2022-10-19</DateDec>
  <PublicationDate>2023-04-17</PublicationDate>
  <Session>330</Session>
  <ComplNum>168/2018</ComplNum>
  <ComplOrg>Forum européen des personnes handicapées (EDF) ; Inclusion Europe </ComplOrg>
  <ArticleInvoked>15-03-163 ; 14-01-000 ; 30-00-163 ; 
31-01-163
31-03-163
11-01-000
16-00-000
27-01-163
91-174-163
91-169-163
91-214-163
91-216-163
91-155-163
91-175-163
91-207-163
</ArticleInvoked>
  <ArticleViolated>15-01-163
15-03-163
11-01-000
16-00-000
</ArticleViolated>
  <Article>15-01-163
15-03-163
11-01-000
16-00-000</Article>
  <Importance>1</Importance>
  <DcCreator>Comité européen des droits sociaux</DcCreator>
</CoeHudocDocument>
</file>

<file path=customXml/item3.xml><?xml version="1.0" encoding="utf-8"?>
<ct:contentTypeSchema xmlns:ct="http://schemas.microsoft.com/office/2006/metadata/contentType" xmlns:ma="http://schemas.microsoft.com/office/2006/metadata/properties/metaAttributes" ct:_="" ma:_="" ma:contentTypeName="Document" ma:contentTypeID="0x010100AC83D3B5031AD24B8E4D2EBF667D4E34" ma:contentTypeVersion="0" ma:contentTypeDescription="Create a new document." ma:contentTypeScope="" ma:versionID="c0b02bbe053cfc283c6a00ae44ad941c">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86BDE-D69D-4844-A18D-6D0CCAF12850}">
  <ds:schemaRefs>
    <ds:schemaRef ds:uri="http://schemas.openxmlformats.org/officeDocument/2006/bibliography"/>
  </ds:schemaRefs>
</ds:datastoreItem>
</file>

<file path=customXml/itemProps2.xml><?xml version="1.0" encoding="utf-8"?>
<ds:datastoreItem xmlns:ds="http://schemas.openxmlformats.org/officeDocument/2006/customXml" ds:itemID="{0B8A54D8-34FF-4257-AC28-DFF4D04E2BF4}">
  <ds:schemaRefs/>
</ds:datastoreItem>
</file>

<file path=customXml/itemProps3.xml><?xml version="1.0" encoding="utf-8"?>
<ds:datastoreItem xmlns:ds="http://schemas.openxmlformats.org/officeDocument/2006/customXml" ds:itemID="{F782254A-F9D0-450B-A26C-8972B7A532B4}"/>
</file>

<file path=customXml/itemProps4.xml><?xml version="1.0" encoding="utf-8"?>
<ds:datastoreItem xmlns:ds="http://schemas.openxmlformats.org/officeDocument/2006/customXml" ds:itemID="{29474159-C661-4A8C-A269-04930F2066A5}"/>
</file>

<file path=customXml/itemProps5.xml><?xml version="1.0" encoding="utf-8"?>
<ds:datastoreItem xmlns:ds="http://schemas.openxmlformats.org/officeDocument/2006/customXml" ds:itemID="{1FA48330-FC8B-43C4-BE2D-CC43D95D5C50}"/>
</file>

<file path=docProps/app.xml><?xml version="1.0" encoding="utf-8"?>
<Properties xmlns="http://schemas.openxmlformats.org/officeDocument/2006/extended-properties" xmlns:vt="http://schemas.openxmlformats.org/officeDocument/2006/docPropsVTypes">
  <Template>Normal</Template>
  <TotalTime>16</TotalTime>
  <Pages>81</Pages>
  <Words>39877</Words>
  <Characters>219325</Characters>
  <Application>Microsoft Office Word</Application>
  <DocSecurity>0</DocSecurity>
  <Lines>1827</Lines>
  <Paragraphs>517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TANYAR Ziya</dc:creator>
  <cp:keywords/>
  <dc:description/>
  <cp:lastModifiedBy>VIOTTI Laurent</cp:lastModifiedBy>
  <cp:revision>4</cp:revision>
  <cp:lastPrinted>2022-10-13T13:03:00Z</cp:lastPrinted>
  <dcterms:created xsi:type="dcterms:W3CDTF">2023-04-17T07:00:00Z</dcterms:created>
  <dcterms:modified xsi:type="dcterms:W3CDTF">2023-04-17T07:21:00Z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0x010100AC83D3B5031AD24B8E4D2EBF667D4E34</vt:lpwstr>
  </property>
</Properties>
</file>